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7"/>
              <w:gridCol w:w="877"/>
              <w:gridCol w:w="3000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58BBC345" w:rsidR="00346A9C" w:rsidRPr="00193E12" w:rsidRDefault="008F269F" w:rsidP="00126F01">
                  <w:pPr>
                    <w:keepNext/>
                    <w:tabs>
                      <w:tab w:val="left" w:pos="7094"/>
                    </w:tabs>
                    <w:spacing w:before="120"/>
                    <w:ind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3E12">
                    <w:rPr>
                      <w:rFonts w:ascii="Arial" w:hAnsi="Arial" w:cs="Arial"/>
                      <w:sz w:val="20"/>
                      <w:szCs w:val="20"/>
                    </w:rPr>
                    <w:t>November 2</w:t>
                  </w:r>
                  <w:r w:rsidR="00572B4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193E12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Pr="00193E12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3E12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5661877A" w:rsidR="00346A9C" w:rsidRPr="00193E12" w:rsidRDefault="00DD230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3E12">
                    <w:rPr>
                      <w:rFonts w:ascii="Arial" w:hAnsi="Arial" w:cs="Arial"/>
                      <w:sz w:val="20"/>
                      <w:szCs w:val="20"/>
                    </w:rPr>
                    <w:t>December 1</w:t>
                  </w:r>
                  <w:r w:rsidR="00F75375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193E12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239D44" w14:textId="77777777" w:rsidR="00346A9C" w:rsidRPr="00004A9F" w:rsidRDefault="0007453F">
      <w:pPr>
        <w:keepNext/>
        <w:spacing w:before="120" w:after="120"/>
        <w:ind w:left="-540"/>
        <w:rPr>
          <w:rFonts w:ascii="Arial" w:hAnsi="Arial" w:cs="Arial"/>
          <w:b/>
          <w:bCs/>
          <w:sz w:val="20"/>
          <w:szCs w:val="20"/>
        </w:rPr>
      </w:pPr>
      <w:r w:rsidRPr="00004A9F">
        <w:rPr>
          <w:rFonts w:ascii="Arial" w:hAnsi="Arial" w:cs="Arial"/>
          <w:b/>
          <w:bCs/>
          <w:sz w:val="20"/>
          <w:szCs w:val="20"/>
        </w:rPr>
        <w:t xml:space="preserve">Instructions: </w:t>
      </w:r>
    </w:p>
    <w:p w14:paraId="75239D45" w14:textId="77777777" w:rsidR="00346A9C" w:rsidRDefault="0007453F" w:rsidP="00004A9F">
      <w:pPr>
        <w:pStyle w:val="ListParagraph"/>
        <w:keepNext/>
        <w:numPr>
          <w:ilvl w:val="0"/>
          <w:numId w:val="18"/>
        </w:numPr>
        <w:spacing w:before="120" w:after="120"/>
        <w:ind w:left="-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2E2C3204" w14:textId="683251B0" w:rsidR="000E4DF0" w:rsidRDefault="000E4DF0" w:rsidP="00004A9F">
      <w:pPr>
        <w:pStyle w:val="ListParagraph"/>
        <w:keepNext/>
        <w:numPr>
          <w:ilvl w:val="0"/>
          <w:numId w:val="18"/>
        </w:numPr>
        <w:spacing w:before="120" w:after="120"/>
        <w:ind w:left="-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the table below to comment on, or raise any concerns with, the proposed revisions within ISO rule. This includes comments on the following:</w:t>
      </w:r>
    </w:p>
    <w:p w14:paraId="4B8CCD06" w14:textId="0A4F2B04" w:rsidR="000E4DF0" w:rsidRDefault="000E4DF0" w:rsidP="00004A9F">
      <w:pPr>
        <w:pStyle w:val="ListParagraph"/>
        <w:keepNext/>
        <w:numPr>
          <w:ilvl w:val="1"/>
          <w:numId w:val="18"/>
        </w:numPr>
        <w:spacing w:before="120" w:after="120"/>
        <w:ind w:left="-180" w:firstLine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substantive or administrative changes within the ISO rule;</w:t>
      </w:r>
    </w:p>
    <w:p w14:paraId="1A31EBB5" w14:textId="4348FC3E" w:rsidR="000E4DF0" w:rsidRDefault="00D10796" w:rsidP="00004A9F">
      <w:pPr>
        <w:pStyle w:val="ListParagraph"/>
        <w:keepNext/>
        <w:numPr>
          <w:ilvl w:val="1"/>
          <w:numId w:val="18"/>
        </w:numPr>
        <w:spacing w:before="120" w:after="120"/>
        <w:ind w:left="-180" w:firstLine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issues related to how a proposed amended or new definition works within the ISO rule; and</w:t>
      </w:r>
    </w:p>
    <w:p w14:paraId="4698713F" w14:textId="1C0B9F26" w:rsidR="000E4DF0" w:rsidRDefault="000E4DF0" w:rsidP="00004A9F">
      <w:pPr>
        <w:pStyle w:val="ListParagraph"/>
        <w:keepNext/>
        <w:numPr>
          <w:ilvl w:val="1"/>
          <w:numId w:val="18"/>
        </w:numPr>
        <w:spacing w:before="120" w:after="120"/>
        <w:ind w:left="-180" w:firstLine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content that should be included in a related </w:t>
      </w:r>
      <w:r w:rsidRPr="00D3591C">
        <w:rPr>
          <w:rFonts w:ascii="Arial" w:hAnsi="Arial" w:cs="Arial"/>
          <w:sz w:val="20"/>
          <w:szCs w:val="20"/>
        </w:rPr>
        <w:t>information document</w:t>
      </w:r>
      <w:r w:rsidR="00D10796">
        <w:rPr>
          <w:rFonts w:ascii="Arial" w:hAnsi="Arial" w:cs="Arial"/>
          <w:sz w:val="20"/>
          <w:szCs w:val="20"/>
        </w:rPr>
        <w:t>.</w:t>
      </w:r>
    </w:p>
    <w:p w14:paraId="19FA7C5E" w14:textId="75D5A7DE" w:rsidR="000E4DF0" w:rsidRPr="00C7588D" w:rsidRDefault="0007453F" w:rsidP="00C7588D">
      <w:pPr>
        <w:pStyle w:val="ListParagraph"/>
        <w:keepNext/>
        <w:numPr>
          <w:ilvl w:val="0"/>
          <w:numId w:val="18"/>
        </w:numPr>
        <w:spacing w:before="120" w:after="240"/>
        <w:ind w:left="-187"/>
        <w:rPr>
          <w:rFonts w:ascii="Arial" w:hAnsi="Arial" w:cs="Arial"/>
          <w:sz w:val="20"/>
          <w:szCs w:val="20"/>
        </w:rPr>
      </w:pPr>
      <w:r w:rsidRPr="00D10796">
        <w:rPr>
          <w:rFonts w:ascii="Arial" w:hAnsi="Arial" w:cs="Arial"/>
          <w:sz w:val="20"/>
          <w:szCs w:val="20"/>
        </w:rPr>
        <w:t>Blank boxes will be interpreted as favourable comments.</w:t>
      </w:r>
    </w:p>
    <w:p w14:paraId="146FBB3C" w14:textId="77777777" w:rsidR="00096BA8" w:rsidRPr="000E4DF0" w:rsidRDefault="00096BA8" w:rsidP="000E4DF0">
      <w:pPr>
        <w:keepNext/>
        <w:spacing w:before="120" w:after="120"/>
        <w:contextualSpacing/>
        <w:rPr>
          <w:rFonts w:ascii="Arial" w:hAnsi="Arial" w:cs="Arial"/>
          <w:sz w:val="20"/>
          <w:szCs w:val="20"/>
        </w:rPr>
      </w:pP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346A9C" w14:paraId="75239D4C" w14:textId="77777777" w:rsidTr="000957A3">
        <w:trPr>
          <w:tblHeader/>
        </w:trPr>
        <w:tc>
          <w:tcPr>
            <w:tcW w:w="540" w:type="dxa"/>
            <w:shd w:val="clear" w:color="auto" w:fill="365F91"/>
          </w:tcPr>
          <w:p w14:paraId="75239D49" w14:textId="77777777" w:rsidR="00346A9C" w:rsidRDefault="00346A9C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5239D4A" w14:textId="01B193FA" w:rsidR="00346A9C" w:rsidRDefault="00CE2997" w:rsidP="00CE2997">
            <w:pPr>
              <w:widowControl w:val="0"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Final Draft</w:t>
            </w:r>
            <w:r w:rsidR="006F797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7528D7">
              <w:rPr>
                <w:rFonts w:ascii="Arial" w:hAnsi="Arial" w:cs="Arial"/>
                <w:b/>
                <w:color w:val="FFFFFF"/>
                <w:sz w:val="20"/>
                <w:szCs w:val="20"/>
              </w:rPr>
              <w:t>ISO Rule</w:t>
            </w:r>
            <w:r w:rsidR="006F7979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7920" w:type="dxa"/>
            <w:shd w:val="clear" w:color="auto" w:fill="365F91"/>
          </w:tcPr>
          <w:p w14:paraId="75239D4B" w14:textId="2ADDA655" w:rsidR="00346A9C" w:rsidRDefault="0007453F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224D1B" w14:paraId="75239D50" w14:textId="77777777">
        <w:trPr>
          <w:cantSplit/>
          <w:trHeight w:val="864"/>
        </w:trPr>
        <w:tc>
          <w:tcPr>
            <w:tcW w:w="540" w:type="dxa"/>
          </w:tcPr>
          <w:p w14:paraId="75239D4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4E" w14:textId="4EB21404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103.4,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Power Pool Financial Settlement</w:t>
            </w:r>
          </w:p>
        </w:tc>
        <w:tc>
          <w:tcPr>
            <w:tcW w:w="7920" w:type="dxa"/>
            <w:shd w:val="clear" w:color="auto" w:fill="auto"/>
          </w:tcPr>
          <w:p w14:paraId="75239D4F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36" w14:paraId="7CF7EFA9" w14:textId="77777777">
        <w:trPr>
          <w:cantSplit/>
          <w:trHeight w:val="864"/>
        </w:trPr>
        <w:tc>
          <w:tcPr>
            <w:tcW w:w="540" w:type="dxa"/>
          </w:tcPr>
          <w:p w14:paraId="366EBBC0" w14:textId="77777777" w:rsidR="00DF6A36" w:rsidRDefault="00DF6A36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1258586" w14:textId="11CA1C2C" w:rsidR="00DF6A36" w:rsidRPr="00224D1B" w:rsidRDefault="00DF6A36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>Section 103.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4D1B">
              <w:rPr>
                <w:rFonts w:ascii="Arial" w:hAnsi="Arial" w:cs="Arial"/>
                <w:sz w:val="20"/>
                <w:szCs w:val="20"/>
              </w:rPr>
              <w:t xml:space="preserve">4, </w:t>
            </w:r>
            <w:r w:rsidR="00CD5DA8">
              <w:rPr>
                <w:rFonts w:ascii="Arial" w:hAnsi="Arial" w:cs="Arial"/>
                <w:i/>
                <w:iCs/>
                <w:sz w:val="20"/>
                <w:szCs w:val="20"/>
              </w:rPr>
              <w:t>Waivers and Variances</w:t>
            </w:r>
          </w:p>
        </w:tc>
        <w:tc>
          <w:tcPr>
            <w:tcW w:w="7920" w:type="dxa"/>
            <w:shd w:val="clear" w:color="auto" w:fill="auto"/>
          </w:tcPr>
          <w:p w14:paraId="2780382D" w14:textId="77777777" w:rsidR="00DF6A36" w:rsidRDefault="00DF6A36" w:rsidP="00224D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D1B" w14:paraId="75239D54" w14:textId="77777777">
        <w:trPr>
          <w:cantSplit/>
          <w:trHeight w:val="864"/>
        </w:trPr>
        <w:tc>
          <w:tcPr>
            <w:tcW w:w="540" w:type="dxa"/>
          </w:tcPr>
          <w:p w14:paraId="75239D5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2" w14:textId="18B72D51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201.7,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Dispatches</w:t>
            </w:r>
          </w:p>
        </w:tc>
        <w:tc>
          <w:tcPr>
            <w:tcW w:w="7920" w:type="dxa"/>
            <w:shd w:val="clear" w:color="auto" w:fill="auto"/>
          </w:tcPr>
          <w:p w14:paraId="75239D53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5239D58" w14:textId="77777777">
        <w:trPr>
          <w:cantSplit/>
          <w:trHeight w:val="58"/>
        </w:trPr>
        <w:tc>
          <w:tcPr>
            <w:tcW w:w="540" w:type="dxa"/>
          </w:tcPr>
          <w:p w14:paraId="75239D55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6" w14:textId="465249D4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202.2,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Short-Term Adequacy and Supply Shortfall</w:t>
            </w:r>
          </w:p>
        </w:tc>
        <w:tc>
          <w:tcPr>
            <w:tcW w:w="7920" w:type="dxa"/>
            <w:shd w:val="clear" w:color="auto" w:fill="auto"/>
          </w:tcPr>
          <w:p w14:paraId="75239D57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027F4952" w14:textId="77777777">
        <w:trPr>
          <w:cantSplit/>
          <w:trHeight w:val="58"/>
        </w:trPr>
        <w:tc>
          <w:tcPr>
            <w:tcW w:w="540" w:type="dxa"/>
          </w:tcPr>
          <w:p w14:paraId="1BC34912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DD6F309" w14:textId="5DE715D7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Issuing Dispatches for Equal Prices</w:t>
            </w:r>
          </w:p>
        </w:tc>
        <w:tc>
          <w:tcPr>
            <w:tcW w:w="7920" w:type="dxa"/>
            <w:shd w:val="clear" w:color="auto" w:fill="auto"/>
          </w:tcPr>
          <w:p w14:paraId="2A365C4A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AFC42D9" w14:textId="77777777">
        <w:trPr>
          <w:cantSplit/>
          <w:trHeight w:val="194"/>
        </w:trPr>
        <w:tc>
          <w:tcPr>
            <w:tcW w:w="540" w:type="dxa"/>
          </w:tcPr>
          <w:p w14:paraId="4F8744F0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36C785E" w14:textId="2FBE094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202.5,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Supply Surplus</w:t>
            </w:r>
          </w:p>
        </w:tc>
        <w:tc>
          <w:tcPr>
            <w:tcW w:w="7920" w:type="dxa"/>
            <w:shd w:val="clear" w:color="auto" w:fill="auto"/>
          </w:tcPr>
          <w:p w14:paraId="43526512" w14:textId="7A9B0D57" w:rsidR="00224D1B" w:rsidRPr="00226C1F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14:paraId="3A49CE69" w14:textId="77777777">
        <w:trPr>
          <w:cantSplit/>
          <w:trHeight w:val="194"/>
        </w:trPr>
        <w:tc>
          <w:tcPr>
            <w:tcW w:w="540" w:type="dxa"/>
          </w:tcPr>
          <w:p w14:paraId="2FA16E6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F15B1E5" w14:textId="287670F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202.6,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Adequacy of Supply</w:t>
            </w:r>
          </w:p>
        </w:tc>
        <w:tc>
          <w:tcPr>
            <w:tcW w:w="7920" w:type="dxa"/>
            <w:shd w:val="clear" w:color="auto" w:fill="auto"/>
          </w:tcPr>
          <w:p w14:paraId="5E5692C7" w14:textId="17218A13" w:rsidR="00224D1B" w:rsidRPr="00226C1F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14:paraId="127B6855" w14:textId="77777777">
        <w:trPr>
          <w:cantSplit/>
          <w:trHeight w:val="194"/>
        </w:trPr>
        <w:tc>
          <w:tcPr>
            <w:tcW w:w="540" w:type="dxa"/>
          </w:tcPr>
          <w:p w14:paraId="29E0FA1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E61B05" w14:textId="62D85F7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203.1,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Offers and Bids for Energy</w:t>
            </w:r>
          </w:p>
        </w:tc>
        <w:tc>
          <w:tcPr>
            <w:tcW w:w="7920" w:type="dxa"/>
            <w:shd w:val="clear" w:color="auto" w:fill="auto"/>
          </w:tcPr>
          <w:p w14:paraId="34A7552D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5239D5C" w14:textId="77777777">
        <w:trPr>
          <w:cantSplit/>
          <w:trHeight w:val="194"/>
        </w:trPr>
        <w:tc>
          <w:tcPr>
            <w:tcW w:w="540" w:type="dxa"/>
          </w:tcPr>
          <w:p w14:paraId="75239D5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A" w14:textId="21D41B40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203.3,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Energy Restatements</w:t>
            </w:r>
          </w:p>
        </w:tc>
        <w:tc>
          <w:tcPr>
            <w:tcW w:w="7920" w:type="dxa"/>
            <w:shd w:val="clear" w:color="auto" w:fill="auto"/>
          </w:tcPr>
          <w:p w14:paraId="75239D5B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1CE94C5" w14:textId="77777777">
        <w:trPr>
          <w:cantSplit/>
          <w:trHeight w:val="194"/>
        </w:trPr>
        <w:tc>
          <w:tcPr>
            <w:tcW w:w="540" w:type="dxa"/>
          </w:tcPr>
          <w:p w14:paraId="1E81AF8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38B4F2" w14:textId="61261BBF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203.4,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Delivery Requirements for Energy</w:t>
            </w:r>
          </w:p>
        </w:tc>
        <w:tc>
          <w:tcPr>
            <w:tcW w:w="7920" w:type="dxa"/>
            <w:shd w:val="clear" w:color="auto" w:fill="auto"/>
          </w:tcPr>
          <w:p w14:paraId="4A82AA5D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A3686" w14:paraId="2E99B1BF" w14:textId="77777777">
        <w:trPr>
          <w:cantSplit/>
          <w:trHeight w:val="194"/>
        </w:trPr>
        <w:tc>
          <w:tcPr>
            <w:tcW w:w="540" w:type="dxa"/>
          </w:tcPr>
          <w:p w14:paraId="7AB22F0A" w14:textId="77777777" w:rsidR="009A3686" w:rsidRDefault="009A3686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0C38DF8" w14:textId="5944C061" w:rsidR="009A3686" w:rsidRPr="00224D1B" w:rsidRDefault="009A3686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6F7979">
              <w:rPr>
                <w:rFonts w:ascii="Arial" w:hAnsi="Arial" w:cs="Arial"/>
                <w:sz w:val="20"/>
                <w:szCs w:val="20"/>
              </w:rPr>
              <w:t>Section 203.5, Consumption Requirements for Energy Storage</w:t>
            </w:r>
          </w:p>
        </w:tc>
        <w:tc>
          <w:tcPr>
            <w:tcW w:w="7920" w:type="dxa"/>
            <w:shd w:val="clear" w:color="auto" w:fill="auto"/>
          </w:tcPr>
          <w:p w14:paraId="092A15F9" w14:textId="77777777" w:rsidR="009A3686" w:rsidRDefault="009A3686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60180B1" w14:textId="77777777">
        <w:trPr>
          <w:cantSplit/>
          <w:trHeight w:val="194"/>
        </w:trPr>
        <w:tc>
          <w:tcPr>
            <w:tcW w:w="540" w:type="dxa"/>
          </w:tcPr>
          <w:p w14:paraId="1B6D8268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33095C3" w14:textId="32F03CF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>Section 205.2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, Issuing Dispatches and Directives for Operating Reserve</w:t>
            </w:r>
          </w:p>
        </w:tc>
        <w:tc>
          <w:tcPr>
            <w:tcW w:w="7920" w:type="dxa"/>
            <w:shd w:val="clear" w:color="auto" w:fill="auto"/>
          </w:tcPr>
          <w:p w14:paraId="09EE4CB5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B25E553" w14:textId="77777777">
        <w:trPr>
          <w:cantSplit/>
          <w:trHeight w:val="194"/>
        </w:trPr>
        <w:tc>
          <w:tcPr>
            <w:tcW w:w="540" w:type="dxa"/>
          </w:tcPr>
          <w:p w14:paraId="4084DFD8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48C27D4" w14:textId="455F81B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Regulating Reserve Technical Requirements and Performance Standards</w:t>
            </w:r>
          </w:p>
        </w:tc>
        <w:tc>
          <w:tcPr>
            <w:tcW w:w="7920" w:type="dxa"/>
            <w:shd w:val="clear" w:color="auto" w:fill="auto"/>
          </w:tcPr>
          <w:p w14:paraId="4FE0B8FF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3D85E04" w14:textId="77777777">
        <w:trPr>
          <w:cantSplit/>
          <w:trHeight w:val="194"/>
        </w:trPr>
        <w:tc>
          <w:tcPr>
            <w:tcW w:w="540" w:type="dxa"/>
          </w:tcPr>
          <w:p w14:paraId="10AFBAA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09935C5" w14:textId="7BFFDC82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205.5,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Spinning Reserve Technical Requirements and Performance Standards</w:t>
            </w:r>
          </w:p>
        </w:tc>
        <w:tc>
          <w:tcPr>
            <w:tcW w:w="7920" w:type="dxa"/>
            <w:shd w:val="clear" w:color="auto" w:fill="auto"/>
          </w:tcPr>
          <w:p w14:paraId="50B0A5E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16356F6" w14:textId="77777777">
        <w:trPr>
          <w:cantSplit/>
          <w:trHeight w:val="194"/>
        </w:trPr>
        <w:tc>
          <w:tcPr>
            <w:tcW w:w="540" w:type="dxa"/>
          </w:tcPr>
          <w:p w14:paraId="5A85E97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E59FDC0" w14:textId="21BB6CA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205.6,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Supplemental Reserve Technical</w:t>
            </w:r>
          </w:p>
        </w:tc>
        <w:tc>
          <w:tcPr>
            <w:tcW w:w="7920" w:type="dxa"/>
            <w:shd w:val="clear" w:color="auto" w:fill="auto"/>
          </w:tcPr>
          <w:p w14:paraId="3D689D3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F9B378E" w14:textId="77777777">
        <w:trPr>
          <w:cantSplit/>
          <w:trHeight w:val="194"/>
        </w:trPr>
        <w:tc>
          <w:tcPr>
            <w:tcW w:w="540" w:type="dxa"/>
          </w:tcPr>
          <w:p w14:paraId="6EED2C1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BC0798B" w14:textId="2E44EFA8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205.8,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Transmission Must-Run</w:t>
            </w:r>
          </w:p>
        </w:tc>
        <w:tc>
          <w:tcPr>
            <w:tcW w:w="7920" w:type="dxa"/>
            <w:shd w:val="clear" w:color="auto" w:fill="auto"/>
          </w:tcPr>
          <w:p w14:paraId="42039C97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9AE93E9" w14:textId="77777777">
        <w:trPr>
          <w:cantSplit/>
          <w:trHeight w:val="194"/>
        </w:trPr>
        <w:tc>
          <w:tcPr>
            <w:tcW w:w="540" w:type="dxa"/>
          </w:tcPr>
          <w:p w14:paraId="0D2DCE1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1492D9D" w14:textId="25AACC7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301.2,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ISO Directives</w:t>
            </w:r>
          </w:p>
        </w:tc>
        <w:tc>
          <w:tcPr>
            <w:tcW w:w="7920" w:type="dxa"/>
            <w:shd w:val="clear" w:color="auto" w:fill="auto"/>
          </w:tcPr>
          <w:p w14:paraId="5F67BC45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3FA96F2" w14:textId="77777777">
        <w:trPr>
          <w:cantSplit/>
          <w:trHeight w:val="194"/>
        </w:trPr>
        <w:tc>
          <w:tcPr>
            <w:tcW w:w="540" w:type="dxa"/>
          </w:tcPr>
          <w:p w14:paraId="517F9E60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7EBA065" w14:textId="452AA0A9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Wind and Solar Power Ramp Up Management</w:t>
            </w:r>
          </w:p>
        </w:tc>
        <w:tc>
          <w:tcPr>
            <w:tcW w:w="7920" w:type="dxa"/>
            <w:shd w:val="clear" w:color="auto" w:fill="auto"/>
          </w:tcPr>
          <w:p w14:paraId="1574FC2A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034B8D3E" w14:textId="77777777">
        <w:trPr>
          <w:cantSplit/>
          <w:trHeight w:val="194"/>
        </w:trPr>
        <w:tc>
          <w:tcPr>
            <w:tcW w:w="540" w:type="dxa"/>
          </w:tcPr>
          <w:p w14:paraId="7B9A5753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B150ECD" w14:textId="0F624FB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Maintaining Network Voltage</w:t>
            </w:r>
          </w:p>
        </w:tc>
        <w:tc>
          <w:tcPr>
            <w:tcW w:w="7920" w:type="dxa"/>
            <w:shd w:val="clear" w:color="auto" w:fill="auto"/>
          </w:tcPr>
          <w:p w14:paraId="21E5ADDC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008C5FC" w14:textId="77777777">
        <w:trPr>
          <w:cantSplit/>
          <w:trHeight w:val="194"/>
        </w:trPr>
        <w:tc>
          <w:tcPr>
            <w:tcW w:w="540" w:type="dxa"/>
          </w:tcPr>
          <w:p w14:paraId="1495D1C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29E61A4" w14:textId="4998A433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304.7,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Event Reporting</w:t>
            </w:r>
          </w:p>
        </w:tc>
        <w:tc>
          <w:tcPr>
            <w:tcW w:w="7920" w:type="dxa"/>
            <w:shd w:val="clear" w:color="auto" w:fill="auto"/>
          </w:tcPr>
          <w:p w14:paraId="2114A4F3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6D89B279" w14:textId="77777777">
        <w:trPr>
          <w:cantSplit/>
          <w:trHeight w:val="194"/>
        </w:trPr>
        <w:tc>
          <w:tcPr>
            <w:tcW w:w="540" w:type="dxa"/>
          </w:tcPr>
          <w:p w14:paraId="053539E6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5FAD16B" w14:textId="7FE0235F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304.8,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Event Analysis</w:t>
            </w:r>
          </w:p>
        </w:tc>
        <w:tc>
          <w:tcPr>
            <w:tcW w:w="7920" w:type="dxa"/>
            <w:shd w:val="clear" w:color="auto" w:fill="auto"/>
          </w:tcPr>
          <w:p w14:paraId="6240DDCB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4F3FAC8" w14:textId="77777777">
        <w:trPr>
          <w:cantSplit/>
          <w:trHeight w:val="194"/>
        </w:trPr>
        <w:tc>
          <w:tcPr>
            <w:tcW w:w="540" w:type="dxa"/>
          </w:tcPr>
          <w:p w14:paraId="68F974CC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5029E42" w14:textId="52AB439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304.9,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Wind and Solar Aggregated Facility Forecasting</w:t>
            </w:r>
          </w:p>
        </w:tc>
        <w:tc>
          <w:tcPr>
            <w:tcW w:w="7920" w:type="dxa"/>
            <w:shd w:val="clear" w:color="auto" w:fill="auto"/>
          </w:tcPr>
          <w:p w14:paraId="107E364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754BE50" w14:textId="77777777">
        <w:trPr>
          <w:cantSplit/>
          <w:trHeight w:val="194"/>
        </w:trPr>
        <w:tc>
          <w:tcPr>
            <w:tcW w:w="540" w:type="dxa"/>
          </w:tcPr>
          <w:p w14:paraId="7C5F71B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4999214" w14:textId="5C0F055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Transmission Planned Outage Reporting and Coordination</w:t>
            </w:r>
          </w:p>
        </w:tc>
        <w:tc>
          <w:tcPr>
            <w:tcW w:w="7920" w:type="dxa"/>
            <w:shd w:val="clear" w:color="auto" w:fill="auto"/>
          </w:tcPr>
          <w:p w14:paraId="4285EFFE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55B49ED" w14:textId="77777777">
        <w:trPr>
          <w:cantSplit/>
          <w:trHeight w:val="194"/>
        </w:trPr>
        <w:tc>
          <w:tcPr>
            <w:tcW w:w="540" w:type="dxa"/>
          </w:tcPr>
          <w:p w14:paraId="28C9B426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D10ED3F" w14:textId="6D86EAA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306.5, </w:t>
            </w:r>
            <w:r w:rsidR="00CD5DA8">
              <w:rPr>
                <w:rFonts w:ascii="Arial" w:hAnsi="Arial" w:cs="Arial"/>
                <w:i/>
                <w:iCs/>
                <w:sz w:val="20"/>
                <w:szCs w:val="20"/>
              </w:rPr>
              <w:t>Source Asset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Outage Reporting and Coordination</w:t>
            </w:r>
          </w:p>
        </w:tc>
        <w:tc>
          <w:tcPr>
            <w:tcW w:w="7920" w:type="dxa"/>
            <w:shd w:val="clear" w:color="auto" w:fill="auto"/>
          </w:tcPr>
          <w:p w14:paraId="6D6A62C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21F812E" w14:textId="77777777">
        <w:trPr>
          <w:cantSplit/>
          <w:trHeight w:val="194"/>
        </w:trPr>
        <w:tc>
          <w:tcPr>
            <w:tcW w:w="540" w:type="dxa"/>
          </w:tcPr>
          <w:p w14:paraId="229DCA9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A72FAC6" w14:textId="5D27A1F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306.7,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Mothball Outage Reporting</w:t>
            </w:r>
          </w:p>
        </w:tc>
        <w:tc>
          <w:tcPr>
            <w:tcW w:w="7920" w:type="dxa"/>
            <w:shd w:val="clear" w:color="auto" w:fill="auto"/>
          </w:tcPr>
          <w:p w14:paraId="480B3C9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76CF992" w14:textId="77777777">
        <w:trPr>
          <w:cantSplit/>
          <w:trHeight w:val="194"/>
        </w:trPr>
        <w:tc>
          <w:tcPr>
            <w:tcW w:w="540" w:type="dxa"/>
          </w:tcPr>
          <w:p w14:paraId="44C2D72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1C3DE71" w14:textId="547E6DDB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501.10,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Transmission Loss Factors</w:t>
            </w:r>
          </w:p>
        </w:tc>
        <w:tc>
          <w:tcPr>
            <w:tcW w:w="7920" w:type="dxa"/>
            <w:shd w:val="clear" w:color="auto" w:fill="auto"/>
          </w:tcPr>
          <w:p w14:paraId="5239332C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C0F2758" w14:textId="77777777">
        <w:trPr>
          <w:cantSplit/>
          <w:trHeight w:val="194"/>
        </w:trPr>
        <w:tc>
          <w:tcPr>
            <w:tcW w:w="540" w:type="dxa"/>
          </w:tcPr>
          <w:p w14:paraId="695B59C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9077E4" w14:textId="4218E99A" w:rsidR="00224D1B" w:rsidRPr="009A3686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25F1">
              <w:rPr>
                <w:rFonts w:ascii="Arial" w:hAnsi="Arial" w:cs="Arial"/>
                <w:sz w:val="20"/>
                <w:szCs w:val="20"/>
              </w:rPr>
              <w:t>Section 50</w:t>
            </w:r>
            <w:r w:rsidR="00DC25F1" w:rsidRPr="00DC25F1">
              <w:rPr>
                <w:rFonts w:ascii="Arial" w:hAnsi="Arial" w:cs="Arial"/>
                <w:sz w:val="20"/>
                <w:szCs w:val="20"/>
              </w:rPr>
              <w:t>3</w:t>
            </w:r>
            <w:r w:rsidRPr="00DC25F1">
              <w:rPr>
                <w:rFonts w:ascii="Arial" w:hAnsi="Arial" w:cs="Arial"/>
                <w:sz w:val="20"/>
                <w:szCs w:val="20"/>
              </w:rPr>
              <w:t xml:space="preserve">.1, </w:t>
            </w:r>
            <w:r w:rsidR="00DC25F1" w:rsidRPr="00DC25F1">
              <w:rPr>
                <w:rFonts w:ascii="Arial" w:hAnsi="Arial" w:cs="Arial"/>
                <w:i/>
                <w:iCs/>
                <w:sz w:val="20"/>
                <w:szCs w:val="20"/>
              </w:rPr>
              <w:t>Functional Specification and Legacy Treatment</w:t>
            </w:r>
          </w:p>
        </w:tc>
        <w:tc>
          <w:tcPr>
            <w:tcW w:w="7920" w:type="dxa"/>
            <w:shd w:val="clear" w:color="auto" w:fill="auto"/>
          </w:tcPr>
          <w:p w14:paraId="71545A0A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0E3DF58" w14:textId="77777777">
        <w:trPr>
          <w:cantSplit/>
          <w:trHeight w:val="194"/>
        </w:trPr>
        <w:tc>
          <w:tcPr>
            <w:tcW w:w="540" w:type="dxa"/>
          </w:tcPr>
          <w:p w14:paraId="6EE560B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BB5485" w14:textId="25BD3CDD" w:rsidR="00224D1B" w:rsidRPr="008607BA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8607BA">
              <w:rPr>
                <w:rFonts w:ascii="Arial" w:hAnsi="Arial" w:cs="Arial"/>
                <w:sz w:val="20"/>
                <w:szCs w:val="20"/>
              </w:rPr>
              <w:t>Section 50</w:t>
            </w:r>
            <w:r w:rsidR="00245849" w:rsidRPr="008607BA">
              <w:rPr>
                <w:rFonts w:ascii="Arial" w:hAnsi="Arial" w:cs="Arial"/>
                <w:sz w:val="20"/>
                <w:szCs w:val="20"/>
              </w:rPr>
              <w:t>3.</w:t>
            </w:r>
            <w:r w:rsidR="00245849">
              <w:rPr>
                <w:rFonts w:ascii="Arial" w:hAnsi="Arial" w:cs="Arial"/>
                <w:sz w:val="20"/>
                <w:szCs w:val="20"/>
              </w:rPr>
              <w:t>2</w:t>
            </w:r>
            <w:r w:rsidR="008607BA" w:rsidRPr="008607B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07BA"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Maximum Authorized Real Power and Maximum Authorized Charging Power</w:t>
            </w:r>
          </w:p>
        </w:tc>
        <w:tc>
          <w:tcPr>
            <w:tcW w:w="7920" w:type="dxa"/>
            <w:shd w:val="clear" w:color="auto" w:fill="auto"/>
          </w:tcPr>
          <w:p w14:paraId="5DA653A6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36A442E" w14:textId="77777777">
        <w:trPr>
          <w:cantSplit/>
          <w:trHeight w:val="194"/>
        </w:trPr>
        <w:tc>
          <w:tcPr>
            <w:tcW w:w="540" w:type="dxa"/>
          </w:tcPr>
          <w:p w14:paraId="6A00D00C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3A4A94" w14:textId="5974EF4B" w:rsidR="00224D1B" w:rsidRPr="008607BA" w:rsidRDefault="00224D1B" w:rsidP="008E4930">
            <w:pPr>
              <w:widowControl w:val="0"/>
              <w:tabs>
                <w:tab w:val="left" w:pos="1905"/>
              </w:tabs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8607BA">
              <w:rPr>
                <w:rFonts w:ascii="Arial" w:hAnsi="Arial" w:cs="Arial"/>
                <w:sz w:val="20"/>
                <w:szCs w:val="20"/>
              </w:rPr>
              <w:t>Section 50</w:t>
            </w:r>
            <w:r w:rsidR="00245849" w:rsidRPr="008607BA">
              <w:rPr>
                <w:rFonts w:ascii="Arial" w:hAnsi="Arial" w:cs="Arial"/>
                <w:sz w:val="20"/>
                <w:szCs w:val="20"/>
              </w:rPr>
              <w:t>3.</w:t>
            </w:r>
            <w:r w:rsidR="00A6793D">
              <w:rPr>
                <w:rFonts w:ascii="Arial" w:hAnsi="Arial" w:cs="Arial"/>
                <w:sz w:val="20"/>
                <w:szCs w:val="20"/>
              </w:rPr>
              <w:t>3</w:t>
            </w:r>
            <w:r w:rsidR="008E49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4930"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Reactive Power</w:t>
            </w:r>
          </w:p>
        </w:tc>
        <w:tc>
          <w:tcPr>
            <w:tcW w:w="7920" w:type="dxa"/>
            <w:shd w:val="clear" w:color="auto" w:fill="auto"/>
          </w:tcPr>
          <w:p w14:paraId="234BF106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5B354E5" w14:textId="77777777">
        <w:trPr>
          <w:cantSplit/>
          <w:trHeight w:val="194"/>
        </w:trPr>
        <w:tc>
          <w:tcPr>
            <w:tcW w:w="540" w:type="dxa"/>
          </w:tcPr>
          <w:p w14:paraId="6C16ED3C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69817AC" w14:textId="60D2A313" w:rsidR="00224D1B" w:rsidRPr="008607BA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8607BA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A6793D" w:rsidRPr="008607BA">
              <w:rPr>
                <w:rFonts w:ascii="Arial" w:hAnsi="Arial" w:cs="Arial"/>
                <w:sz w:val="20"/>
                <w:szCs w:val="20"/>
              </w:rPr>
              <w:t>503</w:t>
            </w:r>
            <w:r w:rsidR="00A6793D">
              <w:rPr>
                <w:rFonts w:ascii="Arial" w:hAnsi="Arial" w:cs="Arial"/>
                <w:sz w:val="20"/>
                <w:szCs w:val="20"/>
              </w:rPr>
              <w:t>.4</w:t>
            </w:r>
            <w:r w:rsidR="008E49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4130"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Voltage Regulation</w:t>
            </w:r>
          </w:p>
        </w:tc>
        <w:tc>
          <w:tcPr>
            <w:tcW w:w="7920" w:type="dxa"/>
            <w:shd w:val="clear" w:color="auto" w:fill="auto"/>
          </w:tcPr>
          <w:p w14:paraId="53D10B8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3C3BFF4" w14:textId="77777777">
        <w:trPr>
          <w:cantSplit/>
          <w:trHeight w:val="194"/>
        </w:trPr>
        <w:tc>
          <w:tcPr>
            <w:tcW w:w="540" w:type="dxa"/>
          </w:tcPr>
          <w:p w14:paraId="6A1808A2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71024B7" w14:textId="1C7C4C5C" w:rsidR="00224D1B" w:rsidRPr="005B5A83" w:rsidRDefault="003A52B7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503.5</w:t>
            </w:r>
            <w:r w:rsidR="00E14C6E" w:rsidRPr="005B5A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Voltage Ride-Through</w:t>
            </w:r>
          </w:p>
        </w:tc>
        <w:tc>
          <w:tcPr>
            <w:tcW w:w="7920" w:type="dxa"/>
            <w:shd w:val="clear" w:color="auto" w:fill="auto"/>
          </w:tcPr>
          <w:p w14:paraId="015D4F9C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417A47F" w14:textId="77777777">
        <w:trPr>
          <w:cantSplit/>
          <w:trHeight w:val="194"/>
        </w:trPr>
        <w:tc>
          <w:tcPr>
            <w:tcW w:w="540" w:type="dxa"/>
          </w:tcPr>
          <w:p w14:paraId="4A151E76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73E6365" w14:textId="2751A9B7" w:rsidR="00224D1B" w:rsidRPr="005B5A83" w:rsidRDefault="00E14C6E" w:rsidP="00E14C6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503.6,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Frequency and Speed Governing</w:t>
            </w:r>
          </w:p>
        </w:tc>
        <w:tc>
          <w:tcPr>
            <w:tcW w:w="7920" w:type="dxa"/>
            <w:shd w:val="clear" w:color="auto" w:fill="auto"/>
          </w:tcPr>
          <w:p w14:paraId="1F77DAF5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9373F44" w14:textId="77777777">
        <w:trPr>
          <w:cantSplit/>
          <w:trHeight w:val="194"/>
        </w:trPr>
        <w:tc>
          <w:tcPr>
            <w:tcW w:w="540" w:type="dxa"/>
          </w:tcPr>
          <w:p w14:paraId="61AA909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77A1DDD" w14:textId="77BB9464" w:rsidR="00224D1B" w:rsidRPr="005B5A83" w:rsidRDefault="00A15FE1" w:rsidP="00741E80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 xml:space="preserve">Section 503.7, 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Power System Stabilizer</w:t>
            </w:r>
          </w:p>
        </w:tc>
        <w:tc>
          <w:tcPr>
            <w:tcW w:w="7920" w:type="dxa"/>
            <w:shd w:val="clear" w:color="auto" w:fill="auto"/>
          </w:tcPr>
          <w:p w14:paraId="52D890C9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B64FF30" w14:textId="77777777">
        <w:trPr>
          <w:cantSplit/>
          <w:trHeight w:val="194"/>
        </w:trPr>
        <w:tc>
          <w:tcPr>
            <w:tcW w:w="540" w:type="dxa"/>
          </w:tcPr>
          <w:p w14:paraId="0DDB9F1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D7284BA" w14:textId="32987305" w:rsidR="00224D1B" w:rsidRPr="005B5A83" w:rsidRDefault="00BE56DF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 xml:space="preserve">Section 503.8, 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Step-Up Transformer</w:t>
            </w:r>
          </w:p>
        </w:tc>
        <w:tc>
          <w:tcPr>
            <w:tcW w:w="7920" w:type="dxa"/>
            <w:shd w:val="clear" w:color="auto" w:fill="auto"/>
          </w:tcPr>
          <w:p w14:paraId="6D5AB1D4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2B331A1" w14:textId="77777777">
        <w:trPr>
          <w:cantSplit/>
          <w:trHeight w:val="194"/>
        </w:trPr>
        <w:tc>
          <w:tcPr>
            <w:tcW w:w="540" w:type="dxa"/>
          </w:tcPr>
          <w:p w14:paraId="6AE356F8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E8C47DA" w14:textId="6BD22484" w:rsidR="00224D1B" w:rsidRPr="005B5A83" w:rsidRDefault="008363EC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</w:t>
            </w:r>
            <w:r w:rsidR="005B5A83">
              <w:rPr>
                <w:rFonts w:ascii="Arial" w:hAnsi="Arial" w:cs="Arial"/>
                <w:sz w:val="20"/>
                <w:szCs w:val="20"/>
              </w:rPr>
              <w:t xml:space="preserve">9, 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Auxiliary Systems</w:t>
            </w:r>
          </w:p>
        </w:tc>
        <w:tc>
          <w:tcPr>
            <w:tcW w:w="7920" w:type="dxa"/>
            <w:shd w:val="clear" w:color="auto" w:fill="auto"/>
          </w:tcPr>
          <w:p w14:paraId="56AD556E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3EC" w:rsidRPr="005B5A83" w14:paraId="299052E3" w14:textId="77777777">
        <w:trPr>
          <w:cantSplit/>
          <w:trHeight w:val="194"/>
        </w:trPr>
        <w:tc>
          <w:tcPr>
            <w:tcW w:w="540" w:type="dxa"/>
          </w:tcPr>
          <w:p w14:paraId="1B6BA279" w14:textId="77777777" w:rsidR="008363EC" w:rsidRPr="005B5A83" w:rsidRDefault="008363EC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B44CA43" w14:textId="66720DC1" w:rsidR="008363EC" w:rsidRPr="005B5A83" w:rsidRDefault="00596B79" w:rsidP="00741E80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503.10</w:t>
            </w:r>
            <w:r w:rsidR="005B5A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Isolating and Interrupting Devices</w:t>
            </w:r>
          </w:p>
        </w:tc>
        <w:tc>
          <w:tcPr>
            <w:tcW w:w="7920" w:type="dxa"/>
            <w:shd w:val="clear" w:color="auto" w:fill="auto"/>
          </w:tcPr>
          <w:p w14:paraId="691018B2" w14:textId="77777777" w:rsidR="008363EC" w:rsidRPr="005B5A83" w:rsidRDefault="008363EC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3EC" w:rsidRPr="005B5A83" w14:paraId="7036D825" w14:textId="77777777">
        <w:trPr>
          <w:cantSplit/>
          <w:trHeight w:val="194"/>
        </w:trPr>
        <w:tc>
          <w:tcPr>
            <w:tcW w:w="540" w:type="dxa"/>
          </w:tcPr>
          <w:p w14:paraId="4BC21161" w14:textId="77777777" w:rsidR="008363EC" w:rsidRPr="005B5A83" w:rsidRDefault="008363EC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F21A4FB" w14:textId="6D585107" w:rsidR="008363EC" w:rsidRPr="005B5A83" w:rsidRDefault="00FE4192" w:rsidP="00741E80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</w:t>
            </w:r>
            <w:r w:rsidR="003D2806">
              <w:rPr>
                <w:rFonts w:ascii="Arial" w:hAnsi="Arial" w:cs="Arial"/>
                <w:sz w:val="20"/>
                <w:szCs w:val="20"/>
              </w:rPr>
              <w:t xml:space="preserve">1, </w:t>
            </w:r>
            <w:r w:rsidRPr="00741E80">
              <w:rPr>
                <w:rFonts w:ascii="Arial" w:hAnsi="Arial" w:cs="Arial"/>
                <w:i/>
                <w:iCs/>
                <w:sz w:val="20"/>
                <w:szCs w:val="20"/>
              </w:rPr>
              <w:t>Power Quality</w:t>
            </w:r>
          </w:p>
        </w:tc>
        <w:tc>
          <w:tcPr>
            <w:tcW w:w="7920" w:type="dxa"/>
            <w:shd w:val="clear" w:color="auto" w:fill="auto"/>
          </w:tcPr>
          <w:p w14:paraId="78C31CDA" w14:textId="77777777" w:rsidR="008363EC" w:rsidRPr="005B5A83" w:rsidRDefault="008363EC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3EC" w:rsidRPr="005B5A83" w14:paraId="2DD09585" w14:textId="77777777">
        <w:trPr>
          <w:cantSplit/>
          <w:trHeight w:val="194"/>
        </w:trPr>
        <w:tc>
          <w:tcPr>
            <w:tcW w:w="540" w:type="dxa"/>
          </w:tcPr>
          <w:p w14:paraId="315F6DD5" w14:textId="77777777" w:rsidR="008363EC" w:rsidRPr="005B5A83" w:rsidRDefault="008363EC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505633D" w14:textId="52A490E6" w:rsidR="008363EC" w:rsidRPr="005B5A83" w:rsidRDefault="00FF3ADF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</w:t>
            </w:r>
            <w:r w:rsidR="003D2806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Grounding and Surge Protection</w:t>
            </w:r>
          </w:p>
        </w:tc>
        <w:tc>
          <w:tcPr>
            <w:tcW w:w="7920" w:type="dxa"/>
            <w:shd w:val="clear" w:color="auto" w:fill="auto"/>
          </w:tcPr>
          <w:p w14:paraId="2ABCF35A" w14:textId="77777777" w:rsidR="008363EC" w:rsidRPr="005B5A83" w:rsidRDefault="008363EC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3EC" w:rsidRPr="005B5A83" w14:paraId="55E96A13" w14:textId="77777777">
        <w:trPr>
          <w:cantSplit/>
          <w:trHeight w:val="194"/>
        </w:trPr>
        <w:tc>
          <w:tcPr>
            <w:tcW w:w="540" w:type="dxa"/>
          </w:tcPr>
          <w:p w14:paraId="7F6D0622" w14:textId="77777777" w:rsidR="008363EC" w:rsidRPr="005B5A83" w:rsidRDefault="008363EC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49151B9" w14:textId="38299294" w:rsidR="008363EC" w:rsidRPr="005B5A83" w:rsidRDefault="005A0562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</w:t>
            </w:r>
            <w:r w:rsidR="003D2806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Synchrophasor Measurement System</w:t>
            </w:r>
          </w:p>
        </w:tc>
        <w:tc>
          <w:tcPr>
            <w:tcW w:w="7920" w:type="dxa"/>
            <w:shd w:val="clear" w:color="auto" w:fill="auto"/>
          </w:tcPr>
          <w:p w14:paraId="25F8D3FD" w14:textId="77777777" w:rsidR="008363EC" w:rsidRPr="005B5A83" w:rsidRDefault="008363EC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3EC" w:rsidRPr="005B5A83" w14:paraId="6A7A1AD8" w14:textId="77777777">
        <w:trPr>
          <w:cantSplit/>
          <w:trHeight w:val="194"/>
        </w:trPr>
        <w:tc>
          <w:tcPr>
            <w:tcW w:w="540" w:type="dxa"/>
          </w:tcPr>
          <w:p w14:paraId="2A302321" w14:textId="77777777" w:rsidR="008363EC" w:rsidRPr="005B5A83" w:rsidRDefault="008363EC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3C06E9A" w14:textId="1838D1CF" w:rsidR="008363EC" w:rsidRPr="005B5A83" w:rsidRDefault="00E25B58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4,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Sequence of Events Monitoring</w:t>
            </w:r>
          </w:p>
        </w:tc>
        <w:tc>
          <w:tcPr>
            <w:tcW w:w="7920" w:type="dxa"/>
            <w:shd w:val="clear" w:color="auto" w:fill="auto"/>
          </w:tcPr>
          <w:p w14:paraId="585FB39B" w14:textId="77777777" w:rsidR="008363EC" w:rsidRPr="005B5A83" w:rsidRDefault="008363EC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3EC" w:rsidRPr="005B5A83" w14:paraId="2F5CD7B9" w14:textId="77777777">
        <w:trPr>
          <w:cantSplit/>
          <w:trHeight w:val="194"/>
        </w:trPr>
        <w:tc>
          <w:tcPr>
            <w:tcW w:w="540" w:type="dxa"/>
          </w:tcPr>
          <w:p w14:paraId="1C2D653F" w14:textId="77777777" w:rsidR="008363EC" w:rsidRPr="005B5A83" w:rsidRDefault="008363EC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491F3A3" w14:textId="2561FE3B" w:rsidR="008363EC" w:rsidRPr="005B5A83" w:rsidRDefault="000D64E3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503.15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Interconnected Electric System Protection</w:t>
            </w:r>
          </w:p>
        </w:tc>
        <w:tc>
          <w:tcPr>
            <w:tcW w:w="7920" w:type="dxa"/>
            <w:shd w:val="clear" w:color="auto" w:fill="auto"/>
          </w:tcPr>
          <w:p w14:paraId="3E3C6E36" w14:textId="77777777" w:rsidR="008363EC" w:rsidRPr="005B5A83" w:rsidRDefault="008363EC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64E3" w:rsidRPr="005B5A83" w14:paraId="14BA41AF" w14:textId="77777777">
        <w:trPr>
          <w:cantSplit/>
          <w:trHeight w:val="194"/>
        </w:trPr>
        <w:tc>
          <w:tcPr>
            <w:tcW w:w="540" w:type="dxa"/>
          </w:tcPr>
          <w:p w14:paraId="273EFBFC" w14:textId="77777777" w:rsidR="000D64E3" w:rsidRPr="005B5A83" w:rsidRDefault="000D64E3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55CAF7" w14:textId="29103C2B" w:rsidR="000D64E3" w:rsidRPr="005B5A83" w:rsidRDefault="00927ED2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503.16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SCADA</w:t>
            </w:r>
          </w:p>
        </w:tc>
        <w:tc>
          <w:tcPr>
            <w:tcW w:w="7920" w:type="dxa"/>
            <w:shd w:val="clear" w:color="auto" w:fill="auto"/>
          </w:tcPr>
          <w:p w14:paraId="14582619" w14:textId="77777777" w:rsidR="000D64E3" w:rsidRPr="005B5A83" w:rsidRDefault="000D64E3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64E3" w:rsidRPr="005B5A83" w14:paraId="1B8EBBFC" w14:textId="77777777">
        <w:trPr>
          <w:cantSplit/>
          <w:trHeight w:val="194"/>
        </w:trPr>
        <w:tc>
          <w:tcPr>
            <w:tcW w:w="540" w:type="dxa"/>
          </w:tcPr>
          <w:p w14:paraId="21292AFB" w14:textId="77777777" w:rsidR="000D64E3" w:rsidRPr="005B5A83" w:rsidRDefault="000D64E3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362A8FD" w14:textId="18D2CEB6" w:rsidR="000D64E3" w:rsidRPr="005B5A83" w:rsidRDefault="00737485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503.17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Revenue Metering System</w:t>
            </w:r>
          </w:p>
        </w:tc>
        <w:tc>
          <w:tcPr>
            <w:tcW w:w="7920" w:type="dxa"/>
            <w:shd w:val="clear" w:color="auto" w:fill="auto"/>
          </w:tcPr>
          <w:p w14:paraId="3AF9C887" w14:textId="77777777" w:rsidR="000D64E3" w:rsidRPr="005B5A83" w:rsidRDefault="000D64E3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64E3" w:rsidRPr="005B5A83" w14:paraId="4AA8A709" w14:textId="77777777">
        <w:trPr>
          <w:cantSplit/>
          <w:trHeight w:val="194"/>
        </w:trPr>
        <w:tc>
          <w:tcPr>
            <w:tcW w:w="540" w:type="dxa"/>
          </w:tcPr>
          <w:p w14:paraId="7B9158C6" w14:textId="77777777" w:rsidR="000D64E3" w:rsidRPr="005B5A83" w:rsidRDefault="000D64E3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207A75C" w14:textId="601F1A0B" w:rsidR="000D64E3" w:rsidRPr="005B5A83" w:rsidRDefault="00BD30BE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503.18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Operation and Maintenance of Facilities</w:t>
            </w:r>
          </w:p>
        </w:tc>
        <w:tc>
          <w:tcPr>
            <w:tcW w:w="7920" w:type="dxa"/>
            <w:shd w:val="clear" w:color="auto" w:fill="auto"/>
          </w:tcPr>
          <w:p w14:paraId="4AAC2F8A" w14:textId="77777777" w:rsidR="000D64E3" w:rsidRPr="005B5A83" w:rsidRDefault="000D64E3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64E3" w:rsidRPr="005B5A83" w14:paraId="13F37B74" w14:textId="77777777">
        <w:trPr>
          <w:cantSplit/>
          <w:trHeight w:val="194"/>
        </w:trPr>
        <w:tc>
          <w:tcPr>
            <w:tcW w:w="540" w:type="dxa"/>
          </w:tcPr>
          <w:p w14:paraId="491C7564" w14:textId="77777777" w:rsidR="000D64E3" w:rsidRPr="005B5A83" w:rsidRDefault="000D64E3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3D05D76" w14:textId="4F6825FB" w:rsidR="000D64E3" w:rsidRPr="005B5A83" w:rsidRDefault="001E41B0" w:rsidP="000D64E3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503.19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Reactive Power Verification Testing</w:t>
            </w:r>
          </w:p>
        </w:tc>
        <w:tc>
          <w:tcPr>
            <w:tcW w:w="7920" w:type="dxa"/>
            <w:shd w:val="clear" w:color="auto" w:fill="auto"/>
          </w:tcPr>
          <w:p w14:paraId="4B9E536E" w14:textId="77777777" w:rsidR="000D64E3" w:rsidRPr="005B5A83" w:rsidRDefault="000D64E3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E41B0" w:rsidRPr="005B5A83" w14:paraId="46E2A62A" w14:textId="77777777">
        <w:trPr>
          <w:cantSplit/>
          <w:trHeight w:val="194"/>
        </w:trPr>
        <w:tc>
          <w:tcPr>
            <w:tcW w:w="540" w:type="dxa"/>
          </w:tcPr>
          <w:p w14:paraId="774FD36C" w14:textId="77777777" w:rsidR="001E41B0" w:rsidRPr="005B5A83" w:rsidRDefault="001E41B0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C6EDD8E" w14:textId="0C424B77" w:rsidR="001E41B0" w:rsidRPr="005B5A83" w:rsidRDefault="00A506B1" w:rsidP="00504E1E">
            <w:pPr>
              <w:spacing w:before="120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5B5A83">
              <w:rPr>
                <w:rFonts w:ascii="Arial" w:hAnsi="Arial" w:cs="Arial"/>
                <w:sz w:val="20"/>
                <w:szCs w:val="20"/>
              </w:rPr>
              <w:t>Section 503.20</w:t>
            </w:r>
            <w:r w:rsidR="00CB1B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Baseline and Model Validation Testing</w:t>
            </w:r>
          </w:p>
        </w:tc>
        <w:tc>
          <w:tcPr>
            <w:tcW w:w="7920" w:type="dxa"/>
            <w:shd w:val="clear" w:color="auto" w:fill="auto"/>
          </w:tcPr>
          <w:p w14:paraId="54366C39" w14:textId="77777777" w:rsidR="001E41B0" w:rsidRPr="005B5A83" w:rsidRDefault="001E41B0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0D63365" w14:textId="77777777">
        <w:trPr>
          <w:cantSplit/>
          <w:trHeight w:val="194"/>
        </w:trPr>
        <w:tc>
          <w:tcPr>
            <w:tcW w:w="540" w:type="dxa"/>
          </w:tcPr>
          <w:p w14:paraId="6E767A9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24A343F" w14:textId="1F2AE7DB" w:rsidR="00224D1B" w:rsidRPr="008607BA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8607BA">
              <w:rPr>
                <w:rFonts w:ascii="Arial" w:hAnsi="Arial" w:cs="Arial"/>
                <w:sz w:val="20"/>
                <w:szCs w:val="20"/>
              </w:rPr>
              <w:t>Section 50</w:t>
            </w:r>
            <w:r w:rsidR="00A6793D" w:rsidRPr="008607BA">
              <w:rPr>
                <w:rFonts w:ascii="Arial" w:hAnsi="Arial" w:cs="Arial"/>
                <w:sz w:val="20"/>
                <w:szCs w:val="20"/>
              </w:rPr>
              <w:t>3.2</w:t>
            </w:r>
            <w:r w:rsidR="00326712">
              <w:rPr>
                <w:rFonts w:ascii="Arial" w:hAnsi="Arial" w:cs="Arial"/>
                <w:sz w:val="20"/>
                <w:szCs w:val="20"/>
              </w:rPr>
              <w:t xml:space="preserve">1, </w:t>
            </w:r>
            <w:r w:rsidR="00326712"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Reporting Facility Modelling Data</w:t>
            </w:r>
          </w:p>
        </w:tc>
        <w:tc>
          <w:tcPr>
            <w:tcW w:w="7920" w:type="dxa"/>
            <w:shd w:val="clear" w:color="auto" w:fill="auto"/>
          </w:tcPr>
          <w:p w14:paraId="03C327B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0B0B03C3" w14:textId="77777777">
        <w:trPr>
          <w:cantSplit/>
          <w:trHeight w:val="194"/>
        </w:trPr>
        <w:tc>
          <w:tcPr>
            <w:tcW w:w="540" w:type="dxa"/>
          </w:tcPr>
          <w:p w14:paraId="0484A80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2F39E8" w14:textId="23EE1A67" w:rsidR="00224D1B" w:rsidRPr="008607BA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8607BA">
              <w:rPr>
                <w:rFonts w:ascii="Arial" w:hAnsi="Arial" w:cs="Arial"/>
                <w:sz w:val="20"/>
                <w:szCs w:val="20"/>
              </w:rPr>
              <w:t>Section 50</w:t>
            </w:r>
            <w:r w:rsidR="00A6793D" w:rsidRPr="008607BA">
              <w:rPr>
                <w:rFonts w:ascii="Arial" w:hAnsi="Arial" w:cs="Arial"/>
                <w:sz w:val="20"/>
                <w:szCs w:val="20"/>
              </w:rPr>
              <w:t>3.2</w:t>
            </w:r>
            <w:r w:rsidR="00504E1E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504E1E" w:rsidRPr="00504E1E">
              <w:rPr>
                <w:rFonts w:ascii="Arial" w:hAnsi="Arial" w:cs="Arial"/>
                <w:i/>
                <w:iCs/>
                <w:sz w:val="20"/>
                <w:szCs w:val="20"/>
              </w:rPr>
              <w:t>Bulk Transmission Line Technical Requirements</w:t>
            </w:r>
          </w:p>
        </w:tc>
        <w:tc>
          <w:tcPr>
            <w:tcW w:w="7920" w:type="dxa"/>
            <w:shd w:val="clear" w:color="auto" w:fill="auto"/>
          </w:tcPr>
          <w:p w14:paraId="5ECD74E9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3DD6396" w14:textId="77777777">
        <w:trPr>
          <w:cantSplit/>
          <w:trHeight w:val="194"/>
        </w:trPr>
        <w:tc>
          <w:tcPr>
            <w:tcW w:w="540" w:type="dxa"/>
          </w:tcPr>
          <w:p w14:paraId="61F83A3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ADF61C0" w14:textId="158312F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504.3,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Coordinating Energization, Commissioning and Ancillary Services Testing</w:t>
            </w:r>
          </w:p>
        </w:tc>
        <w:tc>
          <w:tcPr>
            <w:tcW w:w="7920" w:type="dxa"/>
            <w:shd w:val="clear" w:color="auto" w:fill="auto"/>
          </w:tcPr>
          <w:p w14:paraId="36B5B494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F4072BC" w14:textId="77777777">
        <w:trPr>
          <w:cantSplit/>
          <w:trHeight w:val="194"/>
        </w:trPr>
        <w:tc>
          <w:tcPr>
            <w:tcW w:w="540" w:type="dxa"/>
          </w:tcPr>
          <w:p w14:paraId="4050EAC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B4C8074" w14:textId="607C277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504.4,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Coordinating Operational Testing</w:t>
            </w:r>
          </w:p>
        </w:tc>
        <w:tc>
          <w:tcPr>
            <w:tcW w:w="7920" w:type="dxa"/>
            <w:shd w:val="clear" w:color="auto" w:fill="auto"/>
          </w:tcPr>
          <w:p w14:paraId="40E8D50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60D1AC91" w14:textId="77777777">
        <w:trPr>
          <w:cantSplit/>
          <w:trHeight w:val="194"/>
        </w:trPr>
        <w:tc>
          <w:tcPr>
            <w:tcW w:w="540" w:type="dxa"/>
          </w:tcPr>
          <w:p w14:paraId="5A84727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6294A54" w14:textId="1602B283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505.2,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Performance Criteria for Refund of GUOC</w:t>
            </w:r>
          </w:p>
        </w:tc>
        <w:tc>
          <w:tcPr>
            <w:tcW w:w="7920" w:type="dxa"/>
            <w:shd w:val="clear" w:color="auto" w:fill="auto"/>
          </w:tcPr>
          <w:p w14:paraId="19154A57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9BF4B4A" w14:textId="77777777">
        <w:trPr>
          <w:cantSplit/>
          <w:trHeight w:val="194"/>
        </w:trPr>
        <w:tc>
          <w:tcPr>
            <w:tcW w:w="540" w:type="dxa"/>
          </w:tcPr>
          <w:p w14:paraId="10B0104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D6CB29B" w14:textId="3E83B852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505.3, </w:t>
            </w:r>
            <w:r w:rsidRPr="002724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Coordinating </w:t>
            </w:r>
            <w:r w:rsidR="00D23568" w:rsidRPr="002724A3">
              <w:rPr>
                <w:rFonts w:ascii="Arial" w:hAnsi="Arial" w:cs="Arial"/>
                <w:i/>
                <w:iCs/>
                <w:sz w:val="20"/>
                <w:szCs w:val="20"/>
              </w:rPr>
              <w:t>Synchro</w:t>
            </w:r>
            <w:r w:rsidR="009C2FFC" w:rsidRPr="002724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nization, Commissioning, Model and Reactive Power Validation </w:t>
            </w:r>
            <w:r w:rsidR="002724A3" w:rsidRPr="002724A3">
              <w:rPr>
                <w:rFonts w:ascii="Arial" w:hAnsi="Arial" w:cs="Arial"/>
                <w:i/>
                <w:iCs/>
                <w:sz w:val="20"/>
                <w:szCs w:val="20"/>
              </w:rPr>
              <w:t>Testing, and Ancillary Services Testing</w:t>
            </w:r>
          </w:p>
        </w:tc>
        <w:tc>
          <w:tcPr>
            <w:tcW w:w="7920" w:type="dxa"/>
            <w:shd w:val="clear" w:color="auto" w:fill="auto"/>
          </w:tcPr>
          <w:p w14:paraId="5E0CBD19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7EC295B" w14:textId="77777777">
        <w:trPr>
          <w:cantSplit/>
          <w:trHeight w:val="194"/>
        </w:trPr>
        <w:tc>
          <w:tcPr>
            <w:tcW w:w="540" w:type="dxa"/>
          </w:tcPr>
          <w:p w14:paraId="39083D92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C2ED7AB" w14:textId="5544A8BC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>Section 505.4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, Coordinating Operational Testing</w:t>
            </w:r>
          </w:p>
        </w:tc>
        <w:tc>
          <w:tcPr>
            <w:tcW w:w="7920" w:type="dxa"/>
            <w:shd w:val="clear" w:color="auto" w:fill="auto"/>
          </w:tcPr>
          <w:p w14:paraId="7C14757D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239D61" w14:textId="7404BD23" w:rsidR="00346A9C" w:rsidRDefault="00346A9C">
      <w:pPr>
        <w:rPr>
          <w:rFonts w:ascii="Arial" w:hAnsi="Arial" w:cs="Arial"/>
          <w:sz w:val="20"/>
          <w:szCs w:val="20"/>
        </w:rPr>
      </w:pPr>
    </w:p>
    <w:p w14:paraId="74D8CE4A" w14:textId="086ECF58" w:rsidR="006F7979" w:rsidRDefault="006F7979">
      <w:pPr>
        <w:rPr>
          <w:rFonts w:ascii="Arial" w:hAnsi="Arial" w:cs="Arial"/>
          <w:sz w:val="20"/>
          <w:szCs w:val="20"/>
        </w:rPr>
      </w:pPr>
    </w:p>
    <w:p w14:paraId="1E152432" w14:textId="77777777" w:rsidR="00CF5370" w:rsidRDefault="00CF5370">
      <w:pPr>
        <w:rPr>
          <w:rFonts w:ascii="Arial" w:hAnsi="Arial" w:cs="Arial"/>
          <w:sz w:val="20"/>
          <w:szCs w:val="20"/>
        </w:rPr>
      </w:pPr>
    </w:p>
    <w:sectPr w:rsidR="00CF5370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4E47" w14:textId="77777777" w:rsidR="00657D41" w:rsidRDefault="00657D41">
      <w:r>
        <w:separator/>
      </w:r>
    </w:p>
  </w:endnote>
  <w:endnote w:type="continuationSeparator" w:id="0">
    <w:p w14:paraId="098A8DB2" w14:textId="77777777" w:rsidR="00657D41" w:rsidRDefault="00657D41">
      <w:r>
        <w:continuationSeparator/>
      </w:r>
    </w:p>
  </w:endnote>
  <w:endnote w:type="continuationNotice" w:id="1">
    <w:p w14:paraId="4D731560" w14:textId="77777777" w:rsidR="00657D41" w:rsidRDefault="00657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C" w14:textId="6A39DE50" w:rsidR="00346A9C" w:rsidRDefault="001E1575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Consultation: 2022-11-</w:t>
    </w:r>
    <w:r w:rsidRPr="00076881">
      <w:rPr>
        <w:rFonts w:ascii="Arial" w:hAnsi="Arial" w:cs="Arial"/>
        <w:sz w:val="18"/>
        <w:szCs w:val="18"/>
      </w:rPr>
      <w:t>2</w:t>
    </w:r>
    <w:r w:rsidR="00076881" w:rsidRPr="00076881">
      <w:rPr>
        <w:rFonts w:ascii="Arial" w:hAnsi="Arial" w:cs="Arial"/>
        <w:sz w:val="18"/>
        <w:szCs w:val="18"/>
      </w:rPr>
      <w:t>2</w:t>
    </w:r>
    <w:r w:rsidR="0007453F">
      <w:rPr>
        <w:rFonts w:ascii="Arial" w:hAnsi="Arial" w:cs="Arial"/>
        <w:sz w:val="18"/>
        <w:szCs w:val="18"/>
      </w:rPr>
      <w:tab/>
      <w:t xml:space="preserve">Page </w:t>
    </w:r>
    <w:r w:rsidR="0007453F">
      <w:rPr>
        <w:rFonts w:ascii="Arial" w:hAnsi="Arial" w:cs="Arial"/>
        <w:sz w:val="18"/>
        <w:szCs w:val="18"/>
      </w:rPr>
      <w:fldChar w:fldCharType="begin"/>
    </w:r>
    <w:r w:rsidR="0007453F">
      <w:rPr>
        <w:rFonts w:ascii="Arial" w:hAnsi="Arial" w:cs="Arial"/>
        <w:sz w:val="18"/>
        <w:szCs w:val="18"/>
      </w:rPr>
      <w:instrText xml:space="preserve"> PAGE </w:instrText>
    </w:r>
    <w:r w:rsidR="0007453F">
      <w:rPr>
        <w:rFonts w:ascii="Arial" w:hAnsi="Arial" w:cs="Arial"/>
        <w:sz w:val="18"/>
        <w:szCs w:val="18"/>
      </w:rPr>
      <w:fldChar w:fldCharType="separate"/>
    </w:r>
    <w:r w:rsidR="0007453F">
      <w:rPr>
        <w:rFonts w:ascii="Arial" w:hAnsi="Arial" w:cs="Arial"/>
        <w:noProof/>
        <w:sz w:val="18"/>
        <w:szCs w:val="18"/>
      </w:rPr>
      <w:t>1</w:t>
    </w:r>
    <w:r w:rsidR="0007453F">
      <w:rPr>
        <w:rFonts w:ascii="Arial" w:hAnsi="Arial" w:cs="Arial"/>
        <w:sz w:val="18"/>
        <w:szCs w:val="18"/>
      </w:rPr>
      <w:fldChar w:fldCharType="end"/>
    </w:r>
    <w:r w:rsidR="007D5448">
      <w:rPr>
        <w:rFonts w:ascii="Arial" w:hAnsi="Arial" w:cs="Arial"/>
        <w:sz w:val="18"/>
        <w:szCs w:val="18"/>
      </w:rPr>
      <w:t xml:space="preserve"> of </w:t>
    </w:r>
    <w:r w:rsidR="007D5448">
      <w:rPr>
        <w:rFonts w:ascii="Arial" w:hAnsi="Arial" w:cs="Arial"/>
        <w:sz w:val="18"/>
        <w:szCs w:val="18"/>
      </w:rPr>
      <w:fldChar w:fldCharType="begin"/>
    </w:r>
    <w:r w:rsidR="007D5448">
      <w:rPr>
        <w:rFonts w:ascii="Arial" w:hAnsi="Arial" w:cs="Arial"/>
        <w:sz w:val="18"/>
        <w:szCs w:val="18"/>
      </w:rPr>
      <w:instrText xml:space="preserve"> NUMPAGES   \* MERGEFORMAT </w:instrText>
    </w:r>
    <w:r w:rsidR="007D5448">
      <w:rPr>
        <w:rFonts w:ascii="Arial" w:hAnsi="Arial" w:cs="Arial"/>
        <w:sz w:val="18"/>
        <w:szCs w:val="18"/>
      </w:rPr>
      <w:fldChar w:fldCharType="separate"/>
    </w:r>
    <w:r w:rsidR="007D5448">
      <w:rPr>
        <w:rFonts w:ascii="Arial" w:hAnsi="Arial" w:cs="Arial"/>
        <w:noProof/>
        <w:sz w:val="18"/>
        <w:szCs w:val="18"/>
      </w:rPr>
      <w:t>2</w:t>
    </w:r>
    <w:r w:rsidR="007D5448">
      <w:rPr>
        <w:rFonts w:ascii="Arial" w:hAnsi="Arial" w:cs="Arial"/>
        <w:sz w:val="18"/>
        <w:szCs w:val="18"/>
      </w:rPr>
      <w:fldChar w:fldCharType="end"/>
    </w:r>
    <w:r w:rsidR="0007453F"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7C0D" w14:textId="77777777" w:rsidR="00657D41" w:rsidRDefault="00657D41">
      <w:r>
        <w:separator/>
      </w:r>
    </w:p>
  </w:footnote>
  <w:footnote w:type="continuationSeparator" w:id="0">
    <w:p w14:paraId="665CA20D" w14:textId="77777777" w:rsidR="00657D41" w:rsidRDefault="00657D41">
      <w:r>
        <w:continuationSeparator/>
      </w:r>
    </w:p>
  </w:footnote>
  <w:footnote w:type="continuationNotice" w:id="1">
    <w:p w14:paraId="43FFBE63" w14:textId="77777777" w:rsidR="00657D41" w:rsidRDefault="00657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58241" behindDoc="1" locked="0" layoutInCell="1" allowOverlap="1" wp14:anchorId="75239D73" wp14:editId="75239D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0E013556" w:rsidR="00346A9C" w:rsidRDefault="00746D3E" w:rsidP="00CC073C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Final </w:t>
    </w:r>
    <w:r w:rsidR="009A3686">
      <w:rPr>
        <w:rFonts w:ascii="Arial" w:hAnsi="Arial"/>
        <w:b/>
        <w:color w:val="1F497D"/>
        <w:sz w:val="22"/>
        <w:szCs w:val="22"/>
      </w:rPr>
      <w:t>Draft</w:t>
    </w:r>
    <w:r>
      <w:rPr>
        <w:rFonts w:ascii="Arial" w:hAnsi="Arial"/>
        <w:b/>
        <w:color w:val="1F497D"/>
        <w:sz w:val="22"/>
        <w:szCs w:val="22"/>
      </w:rPr>
      <w:t xml:space="preserve"> Energy Storage ISO Rules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5885">
    <w:abstractNumId w:val="8"/>
  </w:num>
  <w:num w:numId="2" w16cid:durableId="2080859934">
    <w:abstractNumId w:val="15"/>
  </w:num>
  <w:num w:numId="3" w16cid:durableId="1258489582">
    <w:abstractNumId w:val="10"/>
  </w:num>
  <w:num w:numId="4" w16cid:durableId="301662311">
    <w:abstractNumId w:val="5"/>
  </w:num>
  <w:num w:numId="5" w16cid:durableId="1189098413">
    <w:abstractNumId w:val="16"/>
  </w:num>
  <w:num w:numId="6" w16cid:durableId="567229410">
    <w:abstractNumId w:val="20"/>
  </w:num>
  <w:num w:numId="7" w16cid:durableId="871455204">
    <w:abstractNumId w:val="18"/>
  </w:num>
  <w:num w:numId="8" w16cid:durableId="637108087">
    <w:abstractNumId w:val="0"/>
  </w:num>
  <w:num w:numId="9" w16cid:durableId="953485056">
    <w:abstractNumId w:val="17"/>
  </w:num>
  <w:num w:numId="10" w16cid:durableId="461659394">
    <w:abstractNumId w:val="4"/>
  </w:num>
  <w:num w:numId="11" w16cid:durableId="984941346">
    <w:abstractNumId w:val="14"/>
  </w:num>
  <w:num w:numId="12" w16cid:durableId="1962489733">
    <w:abstractNumId w:val="3"/>
  </w:num>
  <w:num w:numId="13" w16cid:durableId="923958229">
    <w:abstractNumId w:val="12"/>
  </w:num>
  <w:num w:numId="14" w16cid:durableId="1658922935">
    <w:abstractNumId w:val="9"/>
  </w:num>
  <w:num w:numId="15" w16cid:durableId="1962221253">
    <w:abstractNumId w:val="6"/>
  </w:num>
  <w:num w:numId="16" w16cid:durableId="423647936">
    <w:abstractNumId w:val="21"/>
  </w:num>
  <w:num w:numId="17" w16cid:durableId="1971937098">
    <w:abstractNumId w:val="1"/>
  </w:num>
  <w:num w:numId="18" w16cid:durableId="961418869">
    <w:abstractNumId w:val="7"/>
  </w:num>
  <w:num w:numId="19" w16cid:durableId="740300028">
    <w:abstractNumId w:val="11"/>
  </w:num>
  <w:num w:numId="20" w16cid:durableId="633489219">
    <w:abstractNumId w:val="2"/>
  </w:num>
  <w:num w:numId="21" w16cid:durableId="767046101">
    <w:abstractNumId w:val="19"/>
  </w:num>
  <w:num w:numId="22" w16cid:durableId="1149202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C"/>
    <w:rsid w:val="00004A9F"/>
    <w:rsid w:val="00021293"/>
    <w:rsid w:val="0007453F"/>
    <w:rsid w:val="00076881"/>
    <w:rsid w:val="000957A3"/>
    <w:rsid w:val="00096BA8"/>
    <w:rsid w:val="000D64E3"/>
    <w:rsid w:val="000E4DF0"/>
    <w:rsid w:val="000E7A68"/>
    <w:rsid w:val="0010070C"/>
    <w:rsid w:val="00126F01"/>
    <w:rsid w:val="001275F1"/>
    <w:rsid w:val="001617B7"/>
    <w:rsid w:val="001745B6"/>
    <w:rsid w:val="00193E12"/>
    <w:rsid w:val="001B21DD"/>
    <w:rsid w:val="001E1575"/>
    <w:rsid w:val="001E41B0"/>
    <w:rsid w:val="001F57F0"/>
    <w:rsid w:val="00224D1B"/>
    <w:rsid w:val="00226C1F"/>
    <w:rsid w:val="00245849"/>
    <w:rsid w:val="002724A3"/>
    <w:rsid w:val="00274CE7"/>
    <w:rsid w:val="00293B92"/>
    <w:rsid w:val="002E59C4"/>
    <w:rsid w:val="00326712"/>
    <w:rsid w:val="00346A9C"/>
    <w:rsid w:val="003A52B7"/>
    <w:rsid w:val="003D2806"/>
    <w:rsid w:val="00422E46"/>
    <w:rsid w:val="00453844"/>
    <w:rsid w:val="00461DEE"/>
    <w:rsid w:val="004C5F6E"/>
    <w:rsid w:val="00504E1E"/>
    <w:rsid w:val="00572B40"/>
    <w:rsid w:val="00596B79"/>
    <w:rsid w:val="005A0562"/>
    <w:rsid w:val="005B5A83"/>
    <w:rsid w:val="005C769B"/>
    <w:rsid w:val="0060687D"/>
    <w:rsid w:val="0063205C"/>
    <w:rsid w:val="00633268"/>
    <w:rsid w:val="00657D41"/>
    <w:rsid w:val="006F7979"/>
    <w:rsid w:val="00702349"/>
    <w:rsid w:val="00737485"/>
    <w:rsid w:val="00741E80"/>
    <w:rsid w:val="00746D3E"/>
    <w:rsid w:val="007528D7"/>
    <w:rsid w:val="00752A5E"/>
    <w:rsid w:val="007D5448"/>
    <w:rsid w:val="007F1719"/>
    <w:rsid w:val="00834099"/>
    <w:rsid w:val="008363EC"/>
    <w:rsid w:val="008607BA"/>
    <w:rsid w:val="008E4930"/>
    <w:rsid w:val="008F269F"/>
    <w:rsid w:val="00927ED2"/>
    <w:rsid w:val="009A3686"/>
    <w:rsid w:val="009C2FFC"/>
    <w:rsid w:val="009F3B3B"/>
    <w:rsid w:val="00A15FE1"/>
    <w:rsid w:val="00A4422D"/>
    <w:rsid w:val="00A506B1"/>
    <w:rsid w:val="00A6793D"/>
    <w:rsid w:val="00A74655"/>
    <w:rsid w:val="00BC1CE5"/>
    <w:rsid w:val="00BD30BE"/>
    <w:rsid w:val="00BD435D"/>
    <w:rsid w:val="00BE56DF"/>
    <w:rsid w:val="00C54130"/>
    <w:rsid w:val="00C5638F"/>
    <w:rsid w:val="00C7588D"/>
    <w:rsid w:val="00CB1BB2"/>
    <w:rsid w:val="00CB3601"/>
    <w:rsid w:val="00CC073C"/>
    <w:rsid w:val="00CD563A"/>
    <w:rsid w:val="00CD5DA8"/>
    <w:rsid w:val="00CE2997"/>
    <w:rsid w:val="00CF5370"/>
    <w:rsid w:val="00D10796"/>
    <w:rsid w:val="00D23568"/>
    <w:rsid w:val="00DC25F1"/>
    <w:rsid w:val="00DD2305"/>
    <w:rsid w:val="00DF6A36"/>
    <w:rsid w:val="00E14C6E"/>
    <w:rsid w:val="00E25B58"/>
    <w:rsid w:val="00E7251B"/>
    <w:rsid w:val="00EF256A"/>
    <w:rsid w:val="00F31EFE"/>
    <w:rsid w:val="00F708F5"/>
    <w:rsid w:val="00F715A5"/>
    <w:rsid w:val="00F75375"/>
    <w:rsid w:val="00FB311E"/>
    <w:rsid w:val="00FE4192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3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  <w:style w:type="character" w:styleId="UnresolvedMention">
    <w:name w:val="Unresolved Mention"/>
    <w:basedOn w:val="DefaultParagraphFont"/>
    <w:uiPriority w:val="99"/>
    <w:unhideWhenUsed/>
    <w:rsid w:val="00A6793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679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a9803-59c8-4966-8303-49df4c861a74" xsi:nil="true"/>
    <_ip_UnifiedCompliancePolicyUIAction xmlns="http://schemas.microsoft.com/sharepoint/v3" xsi:nil="true"/>
    <lcf76f155ced4ddcb4097134ff3c332f xmlns="603cfd49-f4b6-4fd2-876e-8261e1e4305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0ADD085BB24FAAF48F52520F7FA8" ma:contentTypeVersion="16" ma:contentTypeDescription="Create a new document." ma:contentTypeScope="" ma:versionID="2dbf0948cea539a136b598823b06510d">
  <xsd:schema xmlns:xsd="http://www.w3.org/2001/XMLSchema" xmlns:xs="http://www.w3.org/2001/XMLSchema" xmlns:p="http://schemas.microsoft.com/office/2006/metadata/properties" xmlns:ns1="http://schemas.microsoft.com/sharepoint/v3" xmlns:ns2="603cfd49-f4b6-4fd2-876e-8261e1e43058" xmlns:ns3="a61a9803-59c8-4966-8303-49df4c861a74" targetNamespace="http://schemas.microsoft.com/office/2006/metadata/properties" ma:root="true" ma:fieldsID="6f1ab395fc34ae5f9b226ee4d05b3af0" ns1:_="" ns2:_="" ns3:_="">
    <xsd:import namespace="http://schemas.microsoft.com/sharepoint/v3"/>
    <xsd:import namespace="603cfd49-f4b6-4fd2-876e-8261e1e43058"/>
    <xsd:import namespace="a61a9803-59c8-4966-8303-49df4c861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fd49-f4b6-4fd2-876e-8261e1e4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9803-59c8-4966-8303-49df4c861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473a-915c-4efd-a2d2-04c24441b25f}" ma:internalName="TaxCatchAll" ma:showField="CatchAllData" ma:web="a61a9803-59c8-4966-8303-49df4c861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F76C-87EC-474E-823E-4D8DD3802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0CD4D1-AB08-42E1-9DEF-0BCE76CBBD22}">
  <ds:schemaRefs>
    <ds:schemaRef ds:uri="http://schemas.microsoft.com/office/infopath/2007/PartnerControls"/>
    <ds:schemaRef ds:uri="http://schemas.microsoft.com/office/2006/metadata/properties"/>
    <ds:schemaRef ds:uri="a61a9803-59c8-4966-8303-49df4c861a74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603cfd49-f4b6-4fd2-876e-8261e1e4305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A19227-9CA8-48B2-B177-B33967F2B2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CA0CE4-D1B8-47BA-93E1-16A58CA75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cfd49-f4b6-4fd2-876e-8261e1e43058"/>
    <ds:schemaRef ds:uri="a61a9803-59c8-4966-8303-49df4c86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2022-05-09T20:35:00Z</dcterms:created>
  <dcterms:modified xsi:type="dcterms:W3CDTF">2022-11-22T04:03:00Z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0x010100022E0ADD085BB24FAAF48F52520F7FA8</vt:lpwstr>
  </property>
  <property fmtid="{D5CDD505-2E9C-101B-9397-08002B2CF9AE}" pid="3" name="Related ADs">
    <vt:lpwstr/>
  </property>
  <property fmtid="{D5CDD505-2E9C-101B-9397-08002B2CF9AE}" pid="4" name="Confidentiality Classification">
    <vt:lpwstr>2;#AESO Internal|fe2129cc-e616-4c1e-9a39-b6921e014562</vt:lpwstr>
  </property>
  <property fmtid="{D5CDD505-2E9C-101B-9397-08002B2CF9AE}" pid="5" name="Related IDs">
    <vt:lpwstr/>
  </property>
  <property fmtid="{D5CDD505-2E9C-101B-9397-08002B2CF9AE}" pid="6" name="Business Unit(s)">
    <vt:lpwstr/>
  </property>
  <property fmtid="{D5CDD505-2E9C-101B-9397-08002B2CF9AE}" pid="7" name="LARA Category0">
    <vt:lpwstr>19;#Stakeholder Engagement|6220e8f1-840d-40ad-b65f-2194c8e12464</vt:lpwstr>
  </property>
  <property fmtid="{D5CDD505-2E9C-101B-9397-08002B2CF9AE}" pid="8" name="_dlc_DocIdItemGuid">
    <vt:lpwstr>54e0f3ac-bbbe-421b-b12f-9eb33a065dc3</vt:lpwstr>
  </property>
  <property fmtid="{D5CDD505-2E9C-101B-9397-08002B2CF9AE}" pid="9" name="CWRMItemRecordClassification">
    <vt:lpwstr>45;#REG-01 - Rules Development|d8c07a69-2ac5-4b34-96d7-e1add9f5d27b</vt:lpwstr>
  </property>
  <property fmtid="{D5CDD505-2E9C-101B-9397-08002B2CF9AE}" pid="10" name="Related Definition">
    <vt:lpwstr/>
  </property>
  <property fmtid="{D5CDD505-2E9C-101B-9397-08002B2CF9AE}" pid="11" name="Order">
    <vt:lpwstr>76100.0000000000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nsultationRound">
    <vt:lpwstr/>
  </property>
  <property fmtid="{D5CDD505-2E9C-101B-9397-08002B2CF9AE}" pid="16" name="_ExtendedDescription">
    <vt:lpwstr/>
  </property>
  <property fmtid="{D5CDD505-2E9C-101B-9397-08002B2CF9AE}" pid="17" name="DocumentDate">
    <vt:lpwstr/>
  </property>
  <property fmtid="{D5CDD505-2E9C-101B-9397-08002B2CF9AE}" pid="18" name="Requirement Count">
    <vt:lpwstr/>
  </property>
  <property fmtid="{D5CDD505-2E9C-101B-9397-08002B2CF9AE}" pid="19" name="_docset_NoMedatataSyncRequired">
    <vt:lpwstr>False</vt:lpwstr>
  </property>
  <property fmtid="{D5CDD505-2E9C-101B-9397-08002B2CF9AE}" pid="20" name="LARA Category">
    <vt:lpwstr/>
  </property>
  <property fmtid="{D5CDD505-2E9C-101B-9397-08002B2CF9AE}" pid="21" name="i25e9ceaa7c2448f9c5e0f14e0ef915a">
    <vt:lpwstr/>
  </property>
  <property fmtid="{D5CDD505-2E9C-101B-9397-08002B2CF9AE}" pid="22" name="Division">
    <vt:lpwstr/>
  </property>
  <property fmtid="{D5CDD505-2E9C-101B-9397-08002B2CF9AE}" pid="23" name="MediaServiceImageTags">
    <vt:lpwstr/>
  </property>
</Properties>
</file>