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0"/>
              <w:gridCol w:w="2495"/>
              <w:gridCol w:w="877"/>
              <w:gridCol w:w="2999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48AC010F" w:rsidR="00346A9C" w:rsidRDefault="006F7979" w:rsidP="00126F01">
                  <w:pPr>
                    <w:keepNext/>
                    <w:tabs>
                      <w:tab w:val="left" w:pos="7094"/>
                    </w:tabs>
                    <w:spacing w:before="120"/>
                    <w:ind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May 9,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7FBEFCB3" w:rsidR="00346A9C" w:rsidRDefault="006F797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9, 2022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239D44" w14:textId="77777777" w:rsidR="00346A9C" w:rsidRDefault="0007453F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75239D45" w14:textId="77777777" w:rsidR="00346A9C" w:rsidRDefault="0007453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2E2C3204" w14:textId="683251B0" w:rsidR="000E4DF0" w:rsidRDefault="000E4DF0" w:rsidP="000E4DF0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use the table below to comment on, or raise any concerns with, the proposed revisions within ISO rule. This includes comments on the following:</w:t>
      </w:r>
    </w:p>
    <w:p w14:paraId="4B8CCD06" w14:textId="0A4F2B04" w:rsidR="000E4DF0" w:rsidRDefault="000E4DF0" w:rsidP="000E4DF0">
      <w:pPr>
        <w:pStyle w:val="ListParagraph"/>
        <w:keepNext/>
        <w:numPr>
          <w:ilvl w:val="1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substantive or administrative changes within the ISO </w:t>
      </w:r>
      <w:proofErr w:type="gramStart"/>
      <w:r>
        <w:rPr>
          <w:rFonts w:ascii="Arial" w:hAnsi="Arial" w:cs="Arial"/>
          <w:sz w:val="20"/>
          <w:szCs w:val="20"/>
        </w:rPr>
        <w:t>rule;</w:t>
      </w:r>
      <w:proofErr w:type="gramEnd"/>
    </w:p>
    <w:p w14:paraId="1A31EBB5" w14:textId="4348FC3E" w:rsidR="000E4DF0" w:rsidRDefault="00D10796" w:rsidP="000E4DF0">
      <w:pPr>
        <w:pStyle w:val="ListParagraph"/>
        <w:keepNext/>
        <w:numPr>
          <w:ilvl w:val="1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issues related to how a proposed amended or new definition works within the ISO rule; and</w:t>
      </w:r>
    </w:p>
    <w:p w14:paraId="4698713F" w14:textId="1C0B9F26" w:rsidR="000E4DF0" w:rsidRDefault="000E4DF0" w:rsidP="000E4DF0">
      <w:pPr>
        <w:pStyle w:val="ListParagraph"/>
        <w:keepNext/>
        <w:numPr>
          <w:ilvl w:val="1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Any content that should be included in a related </w:t>
      </w:r>
      <w:r w:rsidRPr="00D3591C">
        <w:rPr>
          <w:rFonts w:ascii="Arial" w:hAnsi="Arial" w:cs="Arial"/>
          <w:sz w:val="20"/>
          <w:szCs w:val="20"/>
        </w:rPr>
        <w:t>information document</w:t>
      </w:r>
      <w:r w:rsidR="00D10796">
        <w:rPr>
          <w:rFonts w:ascii="Arial" w:hAnsi="Arial" w:cs="Arial"/>
          <w:sz w:val="20"/>
          <w:szCs w:val="20"/>
        </w:rPr>
        <w:t>.</w:t>
      </w:r>
    </w:p>
    <w:p w14:paraId="5A4A81CB" w14:textId="11D3AF9C" w:rsidR="000E4DF0" w:rsidRPr="00D10796" w:rsidRDefault="0007453F" w:rsidP="00D10796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 w:rsidRPr="00D10796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Pr="00D10796">
        <w:rPr>
          <w:rFonts w:ascii="Arial" w:hAnsi="Arial" w:cs="Arial"/>
          <w:sz w:val="20"/>
          <w:szCs w:val="20"/>
        </w:rPr>
        <w:t>favourable</w:t>
      </w:r>
      <w:proofErr w:type="spellEnd"/>
      <w:r w:rsidRPr="00D10796">
        <w:rPr>
          <w:rFonts w:ascii="Arial" w:hAnsi="Arial" w:cs="Arial"/>
          <w:sz w:val="20"/>
          <w:szCs w:val="20"/>
        </w:rPr>
        <w:t xml:space="preserve"> comments.</w:t>
      </w:r>
    </w:p>
    <w:p w14:paraId="19FA7C5E" w14:textId="77777777" w:rsidR="000E4DF0" w:rsidRPr="000E4DF0" w:rsidRDefault="000E4DF0" w:rsidP="000E4DF0">
      <w:pPr>
        <w:keepNext/>
        <w:spacing w:before="120" w:after="120"/>
        <w:contextualSpacing/>
        <w:rPr>
          <w:rFonts w:ascii="Arial" w:hAnsi="Arial" w:cs="Arial"/>
          <w:sz w:val="20"/>
          <w:szCs w:val="20"/>
        </w:rPr>
      </w:pP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346A9C" w14:paraId="75239D4C" w14:textId="77777777" w:rsidTr="000957A3">
        <w:trPr>
          <w:tblHeader/>
        </w:trPr>
        <w:tc>
          <w:tcPr>
            <w:tcW w:w="540" w:type="dxa"/>
            <w:shd w:val="clear" w:color="auto" w:fill="365F91"/>
          </w:tcPr>
          <w:p w14:paraId="75239D49" w14:textId="77777777" w:rsidR="00346A9C" w:rsidRDefault="00346A9C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5239D4A" w14:textId="0026F955" w:rsidR="00346A9C" w:rsidRDefault="007528D7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Proposed </w:t>
            </w:r>
            <w:r w:rsidR="006F797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Amended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ISO Rule</w:t>
            </w:r>
            <w:r w:rsidR="006F7979">
              <w:rPr>
                <w:rFonts w:ascii="Arial" w:hAnsi="Arial" w:cs="Arial"/>
                <w:b/>
                <w:color w:val="FFFFFF"/>
                <w:sz w:val="20"/>
                <w:szCs w:val="20"/>
              </w:rPr>
              <w:t>s</w:t>
            </w:r>
          </w:p>
        </w:tc>
        <w:tc>
          <w:tcPr>
            <w:tcW w:w="7920" w:type="dxa"/>
            <w:shd w:val="clear" w:color="auto" w:fill="365F91"/>
          </w:tcPr>
          <w:p w14:paraId="75239D4B" w14:textId="2ADDA655" w:rsidR="00346A9C" w:rsidRDefault="0007453F" w:rsidP="000E7A68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224D1B" w14:paraId="75239D50" w14:textId="77777777">
        <w:trPr>
          <w:cantSplit/>
          <w:trHeight w:val="864"/>
        </w:trPr>
        <w:tc>
          <w:tcPr>
            <w:tcW w:w="540" w:type="dxa"/>
          </w:tcPr>
          <w:p w14:paraId="75239D4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4E" w14:textId="262D5409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103.4,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Power Pool Financial Settlement</w:t>
            </w:r>
            <w:r w:rsidR="0002129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920" w:type="dxa"/>
            <w:shd w:val="clear" w:color="auto" w:fill="auto"/>
          </w:tcPr>
          <w:p w14:paraId="75239D4F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D1B" w14:paraId="75239D54" w14:textId="77777777">
        <w:trPr>
          <w:cantSplit/>
          <w:trHeight w:val="864"/>
        </w:trPr>
        <w:tc>
          <w:tcPr>
            <w:tcW w:w="540" w:type="dxa"/>
          </w:tcPr>
          <w:p w14:paraId="75239D5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2" w14:textId="18B72D51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201.7,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Dispatches</w:t>
            </w:r>
          </w:p>
        </w:tc>
        <w:tc>
          <w:tcPr>
            <w:tcW w:w="7920" w:type="dxa"/>
            <w:shd w:val="clear" w:color="auto" w:fill="auto"/>
          </w:tcPr>
          <w:p w14:paraId="75239D53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5239D58" w14:textId="77777777">
        <w:trPr>
          <w:cantSplit/>
          <w:trHeight w:val="58"/>
        </w:trPr>
        <w:tc>
          <w:tcPr>
            <w:tcW w:w="540" w:type="dxa"/>
          </w:tcPr>
          <w:p w14:paraId="75239D55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6" w14:textId="465249D4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202.2,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Short-Term Adequacy and Supply Shortfall</w:t>
            </w:r>
          </w:p>
        </w:tc>
        <w:tc>
          <w:tcPr>
            <w:tcW w:w="7920" w:type="dxa"/>
            <w:shd w:val="clear" w:color="auto" w:fill="auto"/>
          </w:tcPr>
          <w:p w14:paraId="75239D57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027F4952" w14:textId="77777777">
        <w:trPr>
          <w:cantSplit/>
          <w:trHeight w:val="58"/>
        </w:trPr>
        <w:tc>
          <w:tcPr>
            <w:tcW w:w="540" w:type="dxa"/>
          </w:tcPr>
          <w:p w14:paraId="1BC34912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DD6F309" w14:textId="5DE715D7" w:rsidR="00224D1B" w:rsidRPr="00224D1B" w:rsidRDefault="00224D1B" w:rsidP="00224D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Issuing Dispatches for Equal Prices</w:t>
            </w:r>
          </w:p>
        </w:tc>
        <w:tc>
          <w:tcPr>
            <w:tcW w:w="7920" w:type="dxa"/>
            <w:shd w:val="clear" w:color="auto" w:fill="auto"/>
          </w:tcPr>
          <w:p w14:paraId="2A365C4A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88A74BF" w14:textId="77777777">
        <w:trPr>
          <w:cantSplit/>
          <w:trHeight w:val="194"/>
        </w:trPr>
        <w:tc>
          <w:tcPr>
            <w:tcW w:w="540" w:type="dxa"/>
          </w:tcPr>
          <w:p w14:paraId="2D71DBD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40B17FB" w14:textId="053DD26B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Managing Long Lead Time Assets</w:t>
            </w:r>
          </w:p>
        </w:tc>
        <w:tc>
          <w:tcPr>
            <w:tcW w:w="7920" w:type="dxa"/>
            <w:shd w:val="clear" w:color="auto" w:fill="auto"/>
          </w:tcPr>
          <w:p w14:paraId="38A3A1FF" w14:textId="7B5F1382" w:rsidR="00224D1B" w:rsidRPr="00226C1F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14:paraId="4AFC42D9" w14:textId="77777777">
        <w:trPr>
          <w:cantSplit/>
          <w:trHeight w:val="194"/>
        </w:trPr>
        <w:tc>
          <w:tcPr>
            <w:tcW w:w="540" w:type="dxa"/>
          </w:tcPr>
          <w:p w14:paraId="4F8744F0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36C785E" w14:textId="2FBE094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202.5,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Supply Surplus</w:t>
            </w:r>
          </w:p>
        </w:tc>
        <w:tc>
          <w:tcPr>
            <w:tcW w:w="7920" w:type="dxa"/>
            <w:shd w:val="clear" w:color="auto" w:fill="auto"/>
          </w:tcPr>
          <w:p w14:paraId="43526512" w14:textId="7A9B0D57" w:rsidR="00224D1B" w:rsidRPr="00226C1F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14:paraId="3A49CE69" w14:textId="77777777">
        <w:trPr>
          <w:cantSplit/>
          <w:trHeight w:val="194"/>
        </w:trPr>
        <w:tc>
          <w:tcPr>
            <w:tcW w:w="540" w:type="dxa"/>
          </w:tcPr>
          <w:p w14:paraId="2FA16E6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F15B1E5" w14:textId="287670F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202.6,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Adequacy of Supply</w:t>
            </w:r>
          </w:p>
        </w:tc>
        <w:tc>
          <w:tcPr>
            <w:tcW w:w="7920" w:type="dxa"/>
            <w:shd w:val="clear" w:color="auto" w:fill="auto"/>
          </w:tcPr>
          <w:p w14:paraId="5E5692C7" w14:textId="17218A13" w:rsidR="00224D1B" w:rsidRPr="00226C1F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14:paraId="127B6855" w14:textId="77777777">
        <w:trPr>
          <w:cantSplit/>
          <w:trHeight w:val="194"/>
        </w:trPr>
        <w:tc>
          <w:tcPr>
            <w:tcW w:w="540" w:type="dxa"/>
          </w:tcPr>
          <w:p w14:paraId="29E0FA1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E61B05" w14:textId="62D85F7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203.1,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Offers and Bids for Energy</w:t>
            </w:r>
          </w:p>
        </w:tc>
        <w:tc>
          <w:tcPr>
            <w:tcW w:w="7920" w:type="dxa"/>
            <w:shd w:val="clear" w:color="auto" w:fill="auto"/>
          </w:tcPr>
          <w:p w14:paraId="34A7552D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5239D5C" w14:textId="77777777">
        <w:trPr>
          <w:cantSplit/>
          <w:trHeight w:val="194"/>
        </w:trPr>
        <w:tc>
          <w:tcPr>
            <w:tcW w:w="540" w:type="dxa"/>
          </w:tcPr>
          <w:p w14:paraId="75239D5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A" w14:textId="21D41B40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203.3,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Energy Restatements</w:t>
            </w:r>
          </w:p>
        </w:tc>
        <w:tc>
          <w:tcPr>
            <w:tcW w:w="7920" w:type="dxa"/>
            <w:shd w:val="clear" w:color="auto" w:fill="auto"/>
          </w:tcPr>
          <w:p w14:paraId="75239D5B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1CE94C5" w14:textId="77777777">
        <w:trPr>
          <w:cantSplit/>
          <w:trHeight w:val="194"/>
        </w:trPr>
        <w:tc>
          <w:tcPr>
            <w:tcW w:w="540" w:type="dxa"/>
          </w:tcPr>
          <w:p w14:paraId="1E81AF8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38B4F2" w14:textId="61261BBF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203.4,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Delivery Requirements for Energy</w:t>
            </w:r>
          </w:p>
        </w:tc>
        <w:tc>
          <w:tcPr>
            <w:tcW w:w="7920" w:type="dxa"/>
            <w:shd w:val="clear" w:color="auto" w:fill="auto"/>
          </w:tcPr>
          <w:p w14:paraId="4A82AA5D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60180B1" w14:textId="77777777">
        <w:trPr>
          <w:cantSplit/>
          <w:trHeight w:val="194"/>
        </w:trPr>
        <w:tc>
          <w:tcPr>
            <w:tcW w:w="540" w:type="dxa"/>
          </w:tcPr>
          <w:p w14:paraId="1B6D8268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33095C3" w14:textId="32F03CF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>Section 205.2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, Issuing Dispatches and Directives for Operating Reserve</w:t>
            </w:r>
          </w:p>
        </w:tc>
        <w:tc>
          <w:tcPr>
            <w:tcW w:w="7920" w:type="dxa"/>
            <w:shd w:val="clear" w:color="auto" w:fill="auto"/>
          </w:tcPr>
          <w:p w14:paraId="09EE4CB5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B25E553" w14:textId="77777777">
        <w:trPr>
          <w:cantSplit/>
          <w:trHeight w:val="194"/>
        </w:trPr>
        <w:tc>
          <w:tcPr>
            <w:tcW w:w="540" w:type="dxa"/>
          </w:tcPr>
          <w:p w14:paraId="4084DFD8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48C27D4" w14:textId="455F81B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Regulating Reserve Technical Requirements and Performance Standards</w:t>
            </w:r>
          </w:p>
        </w:tc>
        <w:tc>
          <w:tcPr>
            <w:tcW w:w="7920" w:type="dxa"/>
            <w:shd w:val="clear" w:color="auto" w:fill="auto"/>
          </w:tcPr>
          <w:p w14:paraId="4FE0B8FF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3D85E04" w14:textId="77777777">
        <w:trPr>
          <w:cantSplit/>
          <w:trHeight w:val="194"/>
        </w:trPr>
        <w:tc>
          <w:tcPr>
            <w:tcW w:w="540" w:type="dxa"/>
          </w:tcPr>
          <w:p w14:paraId="10AFBAA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09935C5" w14:textId="7BFFDC82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205.5,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Spinning Reserve Technical Requirements and Performance Standards</w:t>
            </w:r>
          </w:p>
        </w:tc>
        <w:tc>
          <w:tcPr>
            <w:tcW w:w="7920" w:type="dxa"/>
            <w:shd w:val="clear" w:color="auto" w:fill="auto"/>
          </w:tcPr>
          <w:p w14:paraId="50B0A5E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16356F6" w14:textId="77777777">
        <w:trPr>
          <w:cantSplit/>
          <w:trHeight w:val="194"/>
        </w:trPr>
        <w:tc>
          <w:tcPr>
            <w:tcW w:w="540" w:type="dxa"/>
          </w:tcPr>
          <w:p w14:paraId="5A85E97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E59FDC0" w14:textId="21BB6CA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205.6,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Supplemental Reserve Technical</w:t>
            </w:r>
          </w:p>
        </w:tc>
        <w:tc>
          <w:tcPr>
            <w:tcW w:w="7920" w:type="dxa"/>
            <w:shd w:val="clear" w:color="auto" w:fill="auto"/>
          </w:tcPr>
          <w:p w14:paraId="3D689D3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F9B378E" w14:textId="77777777">
        <w:trPr>
          <w:cantSplit/>
          <w:trHeight w:val="194"/>
        </w:trPr>
        <w:tc>
          <w:tcPr>
            <w:tcW w:w="540" w:type="dxa"/>
          </w:tcPr>
          <w:p w14:paraId="6EED2C1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BC0798B" w14:textId="2E44EFA8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205.8,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Transmission Must-Run</w:t>
            </w:r>
          </w:p>
        </w:tc>
        <w:tc>
          <w:tcPr>
            <w:tcW w:w="7920" w:type="dxa"/>
            <w:shd w:val="clear" w:color="auto" w:fill="auto"/>
          </w:tcPr>
          <w:p w14:paraId="42039C97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9AE93E9" w14:textId="77777777">
        <w:trPr>
          <w:cantSplit/>
          <w:trHeight w:val="194"/>
        </w:trPr>
        <w:tc>
          <w:tcPr>
            <w:tcW w:w="540" w:type="dxa"/>
          </w:tcPr>
          <w:p w14:paraId="0D2DCE1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1492D9D" w14:textId="25AACC7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301.2,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ISO Directives</w:t>
            </w:r>
          </w:p>
        </w:tc>
        <w:tc>
          <w:tcPr>
            <w:tcW w:w="7920" w:type="dxa"/>
            <w:shd w:val="clear" w:color="auto" w:fill="auto"/>
          </w:tcPr>
          <w:p w14:paraId="5F67BC45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D9863D5" w14:textId="77777777">
        <w:trPr>
          <w:cantSplit/>
          <w:trHeight w:val="194"/>
        </w:trPr>
        <w:tc>
          <w:tcPr>
            <w:tcW w:w="540" w:type="dxa"/>
          </w:tcPr>
          <w:p w14:paraId="1FEBE663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7F23410" w14:textId="247288D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302.1,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Real Time Transmission Constraint Management</w:t>
            </w:r>
          </w:p>
        </w:tc>
        <w:tc>
          <w:tcPr>
            <w:tcW w:w="7920" w:type="dxa"/>
            <w:shd w:val="clear" w:color="auto" w:fill="auto"/>
          </w:tcPr>
          <w:p w14:paraId="61C42A5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ED4FC88" w14:textId="77777777">
        <w:trPr>
          <w:cantSplit/>
          <w:trHeight w:val="194"/>
        </w:trPr>
        <w:tc>
          <w:tcPr>
            <w:tcW w:w="540" w:type="dxa"/>
          </w:tcPr>
          <w:p w14:paraId="382EDD4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8EC014C" w14:textId="58F83589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303.1,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Load Shed Service</w:t>
            </w:r>
          </w:p>
        </w:tc>
        <w:tc>
          <w:tcPr>
            <w:tcW w:w="7920" w:type="dxa"/>
            <w:shd w:val="clear" w:color="auto" w:fill="auto"/>
          </w:tcPr>
          <w:p w14:paraId="10FAC144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3FA96F2" w14:textId="77777777">
        <w:trPr>
          <w:cantSplit/>
          <w:trHeight w:val="194"/>
        </w:trPr>
        <w:tc>
          <w:tcPr>
            <w:tcW w:w="540" w:type="dxa"/>
          </w:tcPr>
          <w:p w14:paraId="517F9E60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7EBA065" w14:textId="452AA0A9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Wind and Solar Power Ramp Up Management</w:t>
            </w:r>
          </w:p>
        </w:tc>
        <w:tc>
          <w:tcPr>
            <w:tcW w:w="7920" w:type="dxa"/>
            <w:shd w:val="clear" w:color="auto" w:fill="auto"/>
          </w:tcPr>
          <w:p w14:paraId="1574FC2A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034B8D3E" w14:textId="77777777">
        <w:trPr>
          <w:cantSplit/>
          <w:trHeight w:val="194"/>
        </w:trPr>
        <w:tc>
          <w:tcPr>
            <w:tcW w:w="540" w:type="dxa"/>
          </w:tcPr>
          <w:p w14:paraId="7B9A5753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B150ECD" w14:textId="0F624FB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Maintaining Network Voltage</w:t>
            </w:r>
          </w:p>
        </w:tc>
        <w:tc>
          <w:tcPr>
            <w:tcW w:w="7920" w:type="dxa"/>
            <w:shd w:val="clear" w:color="auto" w:fill="auto"/>
          </w:tcPr>
          <w:p w14:paraId="21E5ADDC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008C5FC" w14:textId="77777777">
        <w:trPr>
          <w:cantSplit/>
          <w:trHeight w:val="194"/>
        </w:trPr>
        <w:tc>
          <w:tcPr>
            <w:tcW w:w="540" w:type="dxa"/>
          </w:tcPr>
          <w:p w14:paraId="1495D1C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29E61A4" w14:textId="4998A433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304.7,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Event Reporting</w:t>
            </w:r>
          </w:p>
        </w:tc>
        <w:tc>
          <w:tcPr>
            <w:tcW w:w="7920" w:type="dxa"/>
            <w:shd w:val="clear" w:color="auto" w:fill="auto"/>
          </w:tcPr>
          <w:p w14:paraId="2114A4F3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6D89B279" w14:textId="77777777">
        <w:trPr>
          <w:cantSplit/>
          <w:trHeight w:val="194"/>
        </w:trPr>
        <w:tc>
          <w:tcPr>
            <w:tcW w:w="540" w:type="dxa"/>
          </w:tcPr>
          <w:p w14:paraId="053539E6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5FAD16B" w14:textId="7FE0235F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304.8,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Event Analysis</w:t>
            </w:r>
          </w:p>
        </w:tc>
        <w:tc>
          <w:tcPr>
            <w:tcW w:w="7920" w:type="dxa"/>
            <w:shd w:val="clear" w:color="auto" w:fill="auto"/>
          </w:tcPr>
          <w:p w14:paraId="6240DDCB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4F3FAC8" w14:textId="77777777">
        <w:trPr>
          <w:cantSplit/>
          <w:trHeight w:val="194"/>
        </w:trPr>
        <w:tc>
          <w:tcPr>
            <w:tcW w:w="540" w:type="dxa"/>
          </w:tcPr>
          <w:p w14:paraId="68F974CC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5029E42" w14:textId="52AB439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304.9,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Wind and Solar Aggregated Facility Forecasting</w:t>
            </w:r>
          </w:p>
        </w:tc>
        <w:tc>
          <w:tcPr>
            <w:tcW w:w="7920" w:type="dxa"/>
            <w:shd w:val="clear" w:color="auto" w:fill="auto"/>
          </w:tcPr>
          <w:p w14:paraId="107E364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67857521" w14:textId="77777777">
        <w:trPr>
          <w:cantSplit/>
          <w:trHeight w:val="194"/>
        </w:trPr>
        <w:tc>
          <w:tcPr>
            <w:tcW w:w="540" w:type="dxa"/>
          </w:tcPr>
          <w:p w14:paraId="3FC2E47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2C3FDA7" w14:textId="7CE443E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306.3,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Load Planned Outage Reporting</w:t>
            </w:r>
          </w:p>
        </w:tc>
        <w:tc>
          <w:tcPr>
            <w:tcW w:w="7920" w:type="dxa"/>
            <w:shd w:val="clear" w:color="auto" w:fill="auto"/>
          </w:tcPr>
          <w:p w14:paraId="23E6C7A3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754BE50" w14:textId="77777777">
        <w:trPr>
          <w:cantSplit/>
          <w:trHeight w:val="194"/>
        </w:trPr>
        <w:tc>
          <w:tcPr>
            <w:tcW w:w="540" w:type="dxa"/>
          </w:tcPr>
          <w:p w14:paraId="7C5F71B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4999214" w14:textId="5C0F055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306.4,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Transmission Planned Outage Reporting and Coordination</w:t>
            </w:r>
          </w:p>
        </w:tc>
        <w:tc>
          <w:tcPr>
            <w:tcW w:w="7920" w:type="dxa"/>
            <w:shd w:val="clear" w:color="auto" w:fill="auto"/>
          </w:tcPr>
          <w:p w14:paraId="4285EFFE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55B49ED" w14:textId="77777777">
        <w:trPr>
          <w:cantSplit/>
          <w:trHeight w:val="194"/>
        </w:trPr>
        <w:tc>
          <w:tcPr>
            <w:tcW w:w="540" w:type="dxa"/>
          </w:tcPr>
          <w:p w14:paraId="28C9B426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D10ED3F" w14:textId="474C8218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306.5,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Generation Outage Reporting and Coordination</w:t>
            </w:r>
          </w:p>
        </w:tc>
        <w:tc>
          <w:tcPr>
            <w:tcW w:w="7920" w:type="dxa"/>
            <w:shd w:val="clear" w:color="auto" w:fill="auto"/>
          </w:tcPr>
          <w:p w14:paraId="6D6A62C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21F812E" w14:textId="77777777">
        <w:trPr>
          <w:cantSplit/>
          <w:trHeight w:val="194"/>
        </w:trPr>
        <w:tc>
          <w:tcPr>
            <w:tcW w:w="540" w:type="dxa"/>
          </w:tcPr>
          <w:p w14:paraId="229DCA9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A72FAC6" w14:textId="5D27A1F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306.7,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Mothball Outage Reporting</w:t>
            </w:r>
          </w:p>
        </w:tc>
        <w:tc>
          <w:tcPr>
            <w:tcW w:w="7920" w:type="dxa"/>
            <w:shd w:val="clear" w:color="auto" w:fill="auto"/>
          </w:tcPr>
          <w:p w14:paraId="480B3C9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76CF992" w14:textId="77777777">
        <w:trPr>
          <w:cantSplit/>
          <w:trHeight w:val="194"/>
        </w:trPr>
        <w:tc>
          <w:tcPr>
            <w:tcW w:w="540" w:type="dxa"/>
          </w:tcPr>
          <w:p w14:paraId="44C2D72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1C3DE71" w14:textId="547E6DDB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501.10, 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Transmission Loss Factors</w:t>
            </w:r>
          </w:p>
        </w:tc>
        <w:tc>
          <w:tcPr>
            <w:tcW w:w="7920" w:type="dxa"/>
            <w:shd w:val="clear" w:color="auto" w:fill="auto"/>
          </w:tcPr>
          <w:p w14:paraId="5239332C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C0F2758" w14:textId="77777777">
        <w:trPr>
          <w:cantSplit/>
          <w:trHeight w:val="194"/>
        </w:trPr>
        <w:tc>
          <w:tcPr>
            <w:tcW w:w="540" w:type="dxa"/>
          </w:tcPr>
          <w:p w14:paraId="695B59C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9077E4" w14:textId="46922668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502.1, </w:t>
            </w:r>
            <w:r>
              <w:rPr>
                <w:rFonts w:ascii="Arial" w:hAnsi="Arial" w:cs="Arial"/>
                <w:sz w:val="20"/>
                <w:szCs w:val="20"/>
              </w:rPr>
              <w:t xml:space="preserve">Wind or Solar </w:t>
            </w:r>
            <w:r w:rsidRPr="00224D1B">
              <w:rPr>
                <w:rFonts w:ascii="Arial" w:hAnsi="Arial" w:cs="Arial"/>
                <w:sz w:val="20"/>
                <w:szCs w:val="20"/>
              </w:rPr>
              <w:t>Aggregated Facilities Technical Requirements</w:t>
            </w:r>
          </w:p>
        </w:tc>
        <w:tc>
          <w:tcPr>
            <w:tcW w:w="7920" w:type="dxa"/>
            <w:shd w:val="clear" w:color="auto" w:fill="auto"/>
          </w:tcPr>
          <w:p w14:paraId="71545A0A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0E3DF58" w14:textId="77777777">
        <w:trPr>
          <w:cantSplit/>
          <w:trHeight w:val="194"/>
        </w:trPr>
        <w:tc>
          <w:tcPr>
            <w:tcW w:w="540" w:type="dxa"/>
          </w:tcPr>
          <w:p w14:paraId="6EE560B1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BB5485" w14:textId="439825C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>Section 502.3</w:t>
            </w:r>
            <w:r w:rsidRPr="00224D1B">
              <w:rPr>
                <w:rFonts w:ascii="Arial" w:hAnsi="Arial" w:cs="Arial"/>
                <w:i/>
                <w:iCs/>
                <w:sz w:val="20"/>
                <w:szCs w:val="20"/>
              </w:rPr>
              <w:t>, Interconnected Electric System Protection Requirements</w:t>
            </w:r>
          </w:p>
        </w:tc>
        <w:tc>
          <w:tcPr>
            <w:tcW w:w="7920" w:type="dxa"/>
            <w:shd w:val="clear" w:color="auto" w:fill="auto"/>
          </w:tcPr>
          <w:p w14:paraId="5DA653A6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36A442E" w14:textId="77777777">
        <w:trPr>
          <w:cantSplit/>
          <w:trHeight w:val="194"/>
        </w:trPr>
        <w:tc>
          <w:tcPr>
            <w:tcW w:w="540" w:type="dxa"/>
          </w:tcPr>
          <w:p w14:paraId="6A00D00C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3A4A94" w14:textId="3EEF196A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502.5,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Generating Unit Technical Requirements</w:t>
            </w:r>
          </w:p>
        </w:tc>
        <w:tc>
          <w:tcPr>
            <w:tcW w:w="7920" w:type="dxa"/>
            <w:shd w:val="clear" w:color="auto" w:fill="auto"/>
          </w:tcPr>
          <w:p w14:paraId="234BF106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15B354E5" w14:textId="77777777">
        <w:trPr>
          <w:cantSplit/>
          <w:trHeight w:val="194"/>
        </w:trPr>
        <w:tc>
          <w:tcPr>
            <w:tcW w:w="540" w:type="dxa"/>
          </w:tcPr>
          <w:p w14:paraId="6C16ED3C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69817AC" w14:textId="75AEDF95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502.6,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Generating Unit Operating Requirements</w:t>
            </w:r>
          </w:p>
        </w:tc>
        <w:tc>
          <w:tcPr>
            <w:tcW w:w="7920" w:type="dxa"/>
            <w:shd w:val="clear" w:color="auto" w:fill="auto"/>
          </w:tcPr>
          <w:p w14:paraId="53D10B8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3C3BFF4" w14:textId="77777777">
        <w:trPr>
          <w:cantSplit/>
          <w:trHeight w:val="194"/>
        </w:trPr>
        <w:tc>
          <w:tcPr>
            <w:tcW w:w="540" w:type="dxa"/>
          </w:tcPr>
          <w:p w14:paraId="6A1808A2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71024B7" w14:textId="50C43C6E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502.7,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Load Facility Requirements</w:t>
            </w:r>
          </w:p>
        </w:tc>
        <w:tc>
          <w:tcPr>
            <w:tcW w:w="7920" w:type="dxa"/>
            <w:shd w:val="clear" w:color="auto" w:fill="auto"/>
          </w:tcPr>
          <w:p w14:paraId="015D4F9C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417A47F" w14:textId="77777777">
        <w:trPr>
          <w:cantSplit/>
          <w:trHeight w:val="194"/>
        </w:trPr>
        <w:tc>
          <w:tcPr>
            <w:tcW w:w="540" w:type="dxa"/>
          </w:tcPr>
          <w:p w14:paraId="4A151E76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73E6365" w14:textId="134F37FB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502.8,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SCADA Technical and Operating Requirements</w:t>
            </w:r>
          </w:p>
        </w:tc>
        <w:tc>
          <w:tcPr>
            <w:tcW w:w="7920" w:type="dxa"/>
            <w:shd w:val="clear" w:color="auto" w:fill="auto"/>
          </w:tcPr>
          <w:p w14:paraId="1F77DAF5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9373F44" w14:textId="77777777">
        <w:trPr>
          <w:cantSplit/>
          <w:trHeight w:val="194"/>
        </w:trPr>
        <w:tc>
          <w:tcPr>
            <w:tcW w:w="540" w:type="dxa"/>
          </w:tcPr>
          <w:p w14:paraId="61AA909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77A1DDD" w14:textId="612360D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502.9, </w:t>
            </w:r>
            <w:proofErr w:type="spellStart"/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Synchrophasor</w:t>
            </w:r>
            <w:proofErr w:type="spellEnd"/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Measurement Unit Technical Requirements</w:t>
            </w:r>
          </w:p>
        </w:tc>
        <w:tc>
          <w:tcPr>
            <w:tcW w:w="7920" w:type="dxa"/>
            <w:shd w:val="clear" w:color="auto" w:fill="auto"/>
          </w:tcPr>
          <w:p w14:paraId="52D890C9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4B64FF30" w14:textId="77777777">
        <w:trPr>
          <w:cantSplit/>
          <w:trHeight w:val="194"/>
        </w:trPr>
        <w:tc>
          <w:tcPr>
            <w:tcW w:w="540" w:type="dxa"/>
          </w:tcPr>
          <w:p w14:paraId="0DDB9F1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D7284BA" w14:textId="2547DF78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502.13,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Battery Energy Storage Facility Technical Requirements</w:t>
            </w:r>
          </w:p>
        </w:tc>
        <w:tc>
          <w:tcPr>
            <w:tcW w:w="7920" w:type="dxa"/>
            <w:shd w:val="clear" w:color="auto" w:fill="auto"/>
          </w:tcPr>
          <w:p w14:paraId="6D5AB1D4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52B331A1" w14:textId="77777777">
        <w:trPr>
          <w:cantSplit/>
          <w:trHeight w:val="194"/>
        </w:trPr>
        <w:tc>
          <w:tcPr>
            <w:tcW w:w="540" w:type="dxa"/>
          </w:tcPr>
          <w:p w14:paraId="6AE356F8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E8C47DA" w14:textId="5154C89F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502.14,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Battery Energy Storage Facility Operating Requirement</w:t>
            </w:r>
          </w:p>
        </w:tc>
        <w:tc>
          <w:tcPr>
            <w:tcW w:w="7920" w:type="dxa"/>
            <w:shd w:val="clear" w:color="auto" w:fill="auto"/>
          </w:tcPr>
          <w:p w14:paraId="56AD556E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0D63365" w14:textId="77777777">
        <w:trPr>
          <w:cantSplit/>
          <w:trHeight w:val="194"/>
        </w:trPr>
        <w:tc>
          <w:tcPr>
            <w:tcW w:w="540" w:type="dxa"/>
          </w:tcPr>
          <w:p w14:paraId="6E767A99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24A343F" w14:textId="3CA16749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502.15,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Reporting Facility Modelling Data</w:t>
            </w:r>
          </w:p>
        </w:tc>
        <w:tc>
          <w:tcPr>
            <w:tcW w:w="7920" w:type="dxa"/>
            <w:shd w:val="clear" w:color="auto" w:fill="auto"/>
          </w:tcPr>
          <w:p w14:paraId="03C327B0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0B0B03C3" w14:textId="77777777">
        <w:trPr>
          <w:cantSplit/>
          <w:trHeight w:val="194"/>
        </w:trPr>
        <w:tc>
          <w:tcPr>
            <w:tcW w:w="540" w:type="dxa"/>
          </w:tcPr>
          <w:p w14:paraId="0484A80A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2F39E8" w14:textId="7AD4CC7A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502.16,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Aggregated Facilities Operating Requirements</w:t>
            </w:r>
          </w:p>
        </w:tc>
        <w:tc>
          <w:tcPr>
            <w:tcW w:w="7920" w:type="dxa"/>
            <w:shd w:val="clear" w:color="auto" w:fill="auto"/>
          </w:tcPr>
          <w:p w14:paraId="5ECD74E9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73DD6396" w14:textId="77777777">
        <w:trPr>
          <w:cantSplit/>
          <w:trHeight w:val="194"/>
        </w:trPr>
        <w:tc>
          <w:tcPr>
            <w:tcW w:w="540" w:type="dxa"/>
          </w:tcPr>
          <w:p w14:paraId="61F83A3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ADF61C0" w14:textId="158312FD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504.3,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Coordinating Energization, Commissioning and Ancillary Services Testing</w:t>
            </w:r>
          </w:p>
        </w:tc>
        <w:tc>
          <w:tcPr>
            <w:tcW w:w="7920" w:type="dxa"/>
            <w:shd w:val="clear" w:color="auto" w:fill="auto"/>
          </w:tcPr>
          <w:p w14:paraId="36B5B494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F4072BC" w14:textId="77777777">
        <w:trPr>
          <w:cantSplit/>
          <w:trHeight w:val="194"/>
        </w:trPr>
        <w:tc>
          <w:tcPr>
            <w:tcW w:w="540" w:type="dxa"/>
          </w:tcPr>
          <w:p w14:paraId="4050EACD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B4C8074" w14:textId="607C2776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504.4,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Coordinating Operational Testing</w:t>
            </w:r>
          </w:p>
        </w:tc>
        <w:tc>
          <w:tcPr>
            <w:tcW w:w="7920" w:type="dxa"/>
            <w:shd w:val="clear" w:color="auto" w:fill="auto"/>
          </w:tcPr>
          <w:p w14:paraId="40E8D502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60D1AC91" w14:textId="77777777">
        <w:trPr>
          <w:cantSplit/>
          <w:trHeight w:val="194"/>
        </w:trPr>
        <w:tc>
          <w:tcPr>
            <w:tcW w:w="540" w:type="dxa"/>
          </w:tcPr>
          <w:p w14:paraId="5A84727F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6294A54" w14:textId="1602B283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505.2,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Performance Criteria for Refund of GUOC</w:t>
            </w:r>
          </w:p>
        </w:tc>
        <w:tc>
          <w:tcPr>
            <w:tcW w:w="7920" w:type="dxa"/>
            <w:shd w:val="clear" w:color="auto" w:fill="auto"/>
          </w:tcPr>
          <w:p w14:paraId="19154A57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29BF4B4A" w14:textId="77777777">
        <w:trPr>
          <w:cantSplit/>
          <w:trHeight w:val="194"/>
        </w:trPr>
        <w:tc>
          <w:tcPr>
            <w:tcW w:w="540" w:type="dxa"/>
          </w:tcPr>
          <w:p w14:paraId="10B01044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D6CB29B" w14:textId="0086FA80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 xml:space="preserve">Section 505.3, 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Coordinating Energization, Commissioning and WECC Testing Activities</w:t>
            </w:r>
          </w:p>
        </w:tc>
        <w:tc>
          <w:tcPr>
            <w:tcW w:w="7920" w:type="dxa"/>
            <w:shd w:val="clear" w:color="auto" w:fill="auto"/>
          </w:tcPr>
          <w:p w14:paraId="5E0CBD19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14:paraId="37EC295B" w14:textId="77777777">
        <w:trPr>
          <w:cantSplit/>
          <w:trHeight w:val="194"/>
        </w:trPr>
        <w:tc>
          <w:tcPr>
            <w:tcW w:w="540" w:type="dxa"/>
          </w:tcPr>
          <w:p w14:paraId="39083D92" w14:textId="77777777" w:rsidR="00224D1B" w:rsidRDefault="00224D1B" w:rsidP="00224D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C2ED7AB" w14:textId="5544A8BC" w:rsidR="00224D1B" w:rsidRPr="00224D1B" w:rsidRDefault="00224D1B" w:rsidP="00224D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 w:rsidRPr="00224D1B">
              <w:rPr>
                <w:rFonts w:ascii="Arial" w:hAnsi="Arial" w:cs="Arial"/>
                <w:sz w:val="20"/>
                <w:szCs w:val="20"/>
              </w:rPr>
              <w:t>Section 505.4</w:t>
            </w:r>
            <w:r w:rsidRPr="00EF256A">
              <w:rPr>
                <w:rFonts w:ascii="Arial" w:hAnsi="Arial" w:cs="Arial"/>
                <w:i/>
                <w:iCs/>
                <w:sz w:val="20"/>
                <w:szCs w:val="20"/>
              </w:rPr>
              <w:t>, Coordinating Operational Testing</w:t>
            </w:r>
          </w:p>
        </w:tc>
        <w:tc>
          <w:tcPr>
            <w:tcW w:w="7920" w:type="dxa"/>
            <w:shd w:val="clear" w:color="auto" w:fill="auto"/>
          </w:tcPr>
          <w:p w14:paraId="7C14757D" w14:textId="77777777" w:rsidR="00224D1B" w:rsidRDefault="00224D1B" w:rsidP="00224D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239D61" w14:textId="7404BD23" w:rsidR="00346A9C" w:rsidRDefault="00346A9C">
      <w:pPr>
        <w:rPr>
          <w:rFonts w:ascii="Arial" w:hAnsi="Arial" w:cs="Arial"/>
          <w:sz w:val="20"/>
          <w:szCs w:val="20"/>
        </w:rPr>
      </w:pP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6F7979" w14:paraId="5C4C3473" w14:textId="77777777" w:rsidTr="00935CDA">
        <w:trPr>
          <w:tblHeader/>
        </w:trPr>
        <w:tc>
          <w:tcPr>
            <w:tcW w:w="540" w:type="dxa"/>
            <w:shd w:val="clear" w:color="auto" w:fill="365F91"/>
          </w:tcPr>
          <w:p w14:paraId="3C6EE059" w14:textId="77777777" w:rsidR="006F7979" w:rsidRDefault="006F7979" w:rsidP="00935CDA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04A18CBA" w14:textId="664D3E25" w:rsidR="006F7979" w:rsidRDefault="006F7979" w:rsidP="00935CDA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Proposed New ISO Rule</w:t>
            </w:r>
          </w:p>
        </w:tc>
        <w:tc>
          <w:tcPr>
            <w:tcW w:w="7920" w:type="dxa"/>
            <w:shd w:val="clear" w:color="auto" w:fill="365F91"/>
          </w:tcPr>
          <w:p w14:paraId="44A07F9B" w14:textId="77777777" w:rsidR="006F7979" w:rsidRDefault="006F7979" w:rsidP="00935CDA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6F7979" w14:paraId="3DE23562" w14:textId="77777777" w:rsidTr="00935CDA">
        <w:trPr>
          <w:cantSplit/>
          <w:trHeight w:val="864"/>
        </w:trPr>
        <w:tc>
          <w:tcPr>
            <w:tcW w:w="540" w:type="dxa"/>
          </w:tcPr>
          <w:p w14:paraId="72850321" w14:textId="77777777" w:rsidR="006F7979" w:rsidRDefault="006F7979" w:rsidP="00935CDA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3D603A5" w14:textId="529E7F71" w:rsidR="006F7979" w:rsidRPr="00224D1B" w:rsidRDefault="006F7979" w:rsidP="00935CDA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 w:rsidRPr="006F7979">
              <w:rPr>
                <w:rFonts w:ascii="Arial" w:hAnsi="Arial" w:cs="Arial"/>
                <w:sz w:val="20"/>
                <w:szCs w:val="20"/>
              </w:rPr>
              <w:t>Section 203.5, Consumption Requirements for Energy Storage</w:t>
            </w:r>
          </w:p>
        </w:tc>
        <w:tc>
          <w:tcPr>
            <w:tcW w:w="7920" w:type="dxa"/>
            <w:shd w:val="clear" w:color="auto" w:fill="auto"/>
          </w:tcPr>
          <w:p w14:paraId="7456B81D" w14:textId="77777777" w:rsidR="006F7979" w:rsidRDefault="006F7979" w:rsidP="00935CDA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8CE4A" w14:textId="086ECF58" w:rsidR="006F7979" w:rsidRDefault="006F7979">
      <w:pPr>
        <w:rPr>
          <w:rFonts w:ascii="Arial" w:hAnsi="Arial" w:cs="Arial"/>
          <w:sz w:val="20"/>
          <w:szCs w:val="20"/>
        </w:rPr>
      </w:pPr>
    </w:p>
    <w:p w14:paraId="1E152432" w14:textId="77777777" w:rsidR="00CF5370" w:rsidRDefault="00CF5370">
      <w:pPr>
        <w:rPr>
          <w:rFonts w:ascii="Arial" w:hAnsi="Arial" w:cs="Arial"/>
          <w:sz w:val="20"/>
          <w:szCs w:val="20"/>
        </w:rPr>
      </w:pPr>
    </w:p>
    <w:sectPr w:rsidR="00CF5370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39D68" w14:textId="77777777" w:rsidR="00346A9C" w:rsidRDefault="0007453F">
      <w:r>
        <w:separator/>
      </w:r>
    </w:p>
  </w:endnote>
  <w:endnote w:type="continuationSeparator" w:id="0">
    <w:p w14:paraId="75239D69" w14:textId="77777777" w:rsidR="00346A9C" w:rsidRDefault="0007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C" w14:textId="62AF5B5E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</w:t>
    </w:r>
    <w:r w:rsidR="00CC073C">
      <w:rPr>
        <w:rFonts w:ascii="Arial" w:hAnsi="Arial" w:cs="Arial"/>
        <w:sz w:val="18"/>
        <w:szCs w:val="18"/>
      </w:rPr>
      <w:t>onsultation</w:t>
    </w:r>
    <w:r>
      <w:rPr>
        <w:rFonts w:ascii="Arial" w:hAnsi="Arial" w:cs="Arial"/>
        <w:sz w:val="18"/>
        <w:szCs w:val="18"/>
      </w:rPr>
      <w:t xml:space="preserve">: </w:t>
    </w:r>
    <w:r w:rsidR="006F7979">
      <w:rPr>
        <w:rFonts w:ascii="Arial" w:hAnsi="Arial" w:cs="Arial"/>
        <w:sz w:val="18"/>
        <w:szCs w:val="18"/>
      </w:rPr>
      <w:t xml:space="preserve">May 9, </w:t>
    </w:r>
    <w:proofErr w:type="gramStart"/>
    <w:r w:rsidR="006F7979">
      <w:rPr>
        <w:rFonts w:ascii="Arial" w:hAnsi="Arial" w:cs="Arial"/>
        <w:sz w:val="18"/>
        <w:szCs w:val="18"/>
      </w:rPr>
      <w:t>2022</w:t>
    </w:r>
    <w:proofErr w:type="gramEnd"/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 w:rsidR="007D5448">
      <w:rPr>
        <w:rFonts w:ascii="Arial" w:hAnsi="Arial" w:cs="Arial"/>
        <w:sz w:val="18"/>
        <w:szCs w:val="18"/>
      </w:rPr>
      <w:t xml:space="preserve"> of </w:t>
    </w:r>
    <w:r w:rsidR="007D5448">
      <w:rPr>
        <w:rFonts w:ascii="Arial" w:hAnsi="Arial" w:cs="Arial"/>
        <w:sz w:val="18"/>
        <w:szCs w:val="18"/>
      </w:rPr>
      <w:fldChar w:fldCharType="begin"/>
    </w:r>
    <w:r w:rsidR="007D5448">
      <w:rPr>
        <w:rFonts w:ascii="Arial" w:hAnsi="Arial" w:cs="Arial"/>
        <w:sz w:val="18"/>
        <w:szCs w:val="18"/>
      </w:rPr>
      <w:instrText xml:space="preserve"> NUMPAGES   \* MERGEFORMAT </w:instrText>
    </w:r>
    <w:r w:rsidR="007D5448">
      <w:rPr>
        <w:rFonts w:ascii="Arial" w:hAnsi="Arial" w:cs="Arial"/>
        <w:sz w:val="18"/>
        <w:szCs w:val="18"/>
      </w:rPr>
      <w:fldChar w:fldCharType="separate"/>
    </w:r>
    <w:r w:rsidR="007D5448">
      <w:rPr>
        <w:rFonts w:ascii="Arial" w:hAnsi="Arial" w:cs="Arial"/>
        <w:noProof/>
        <w:sz w:val="18"/>
        <w:szCs w:val="18"/>
      </w:rPr>
      <w:t>2</w:t>
    </w:r>
    <w:r w:rsidR="007D544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39D66" w14:textId="77777777" w:rsidR="00346A9C" w:rsidRDefault="0007453F">
      <w:r>
        <w:separator/>
      </w:r>
    </w:p>
  </w:footnote>
  <w:footnote w:type="continuationSeparator" w:id="0">
    <w:p w14:paraId="75239D67" w14:textId="77777777" w:rsidR="00346A9C" w:rsidRDefault="0007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78720" behindDoc="1" locked="0" layoutInCell="1" allowOverlap="1" wp14:anchorId="75239D73" wp14:editId="75239D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4A0E8B67" w:rsidR="00346A9C" w:rsidRDefault="001B21DD" w:rsidP="00CC073C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Energy Storage </w:t>
    </w:r>
    <w:r w:rsidR="00CC073C" w:rsidRPr="00CC073C">
      <w:rPr>
        <w:rFonts w:ascii="Arial" w:hAnsi="Arial"/>
        <w:b/>
        <w:color w:val="1F497D"/>
        <w:sz w:val="22"/>
        <w:szCs w:val="22"/>
      </w:rPr>
      <w:t>Draft Proposed New and Amended ISO Rules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16"/>
  </w:num>
  <w:num w:numId="6">
    <w:abstractNumId w:val="20"/>
  </w:num>
  <w:num w:numId="7">
    <w:abstractNumId w:val="18"/>
  </w:num>
  <w:num w:numId="8">
    <w:abstractNumId w:val="0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  <w:num w:numId="16">
    <w:abstractNumId w:val="21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C"/>
    <w:rsid w:val="00021293"/>
    <w:rsid w:val="0007453F"/>
    <w:rsid w:val="000957A3"/>
    <w:rsid w:val="000E4DF0"/>
    <w:rsid w:val="000E7A68"/>
    <w:rsid w:val="0010070C"/>
    <w:rsid w:val="00126F01"/>
    <w:rsid w:val="001275F1"/>
    <w:rsid w:val="001617B7"/>
    <w:rsid w:val="001745B6"/>
    <w:rsid w:val="001B21DD"/>
    <w:rsid w:val="001F57F0"/>
    <w:rsid w:val="00224D1B"/>
    <w:rsid w:val="00226C1F"/>
    <w:rsid w:val="00274CE7"/>
    <w:rsid w:val="00293B92"/>
    <w:rsid w:val="002E59C4"/>
    <w:rsid w:val="00346A9C"/>
    <w:rsid w:val="00422E46"/>
    <w:rsid w:val="00453844"/>
    <w:rsid w:val="004C5F6E"/>
    <w:rsid w:val="005C769B"/>
    <w:rsid w:val="0060687D"/>
    <w:rsid w:val="0063205C"/>
    <w:rsid w:val="00633268"/>
    <w:rsid w:val="006F7979"/>
    <w:rsid w:val="00702349"/>
    <w:rsid w:val="007528D7"/>
    <w:rsid w:val="00752A5E"/>
    <w:rsid w:val="007D5448"/>
    <w:rsid w:val="007F1719"/>
    <w:rsid w:val="00834099"/>
    <w:rsid w:val="00A4422D"/>
    <w:rsid w:val="00BC1CE5"/>
    <w:rsid w:val="00C5638F"/>
    <w:rsid w:val="00CB3601"/>
    <w:rsid w:val="00CC073C"/>
    <w:rsid w:val="00CF5370"/>
    <w:rsid w:val="00D10796"/>
    <w:rsid w:val="00E7251B"/>
    <w:rsid w:val="00EF256A"/>
    <w:rsid w:val="00F31EFE"/>
    <w:rsid w:val="00F708F5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7523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9" ma:contentTypeDescription="" ma:contentTypeScope="" ma:versionID="04c6828344e196b7343ad97bad8bba23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fe2f01555dec2b14c3c4c93cbbff807d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TaxCatchAll xmlns="bfc2574c-8110-4e43-9784-1ee86de75c6c">
      <Value>1322</Value>
      <Value>1271</Value>
      <Value>1348</Value>
    </TaxCatchAll>
    <nc9abd60d2924b6a80e31aa92886dd82 xmlns="bfc2574c-8110-4e43-9784-1ee86de75c6c">
      <Terms xmlns="http://schemas.microsoft.com/office/infopath/2007/PartnerControls"/>
    </nc9abd60d2924b6a80e31aa92886dd82>
    <k64467115e4948f8a6ae90544ba894f6 xmlns="bfc2574c-8110-4e43-9784-1ee86de75c6c">
      <Terms xmlns="http://schemas.microsoft.com/office/infopath/2007/PartnerControls"/>
    </k64467115e4948f8a6ae90544ba894f6>
    <Notes0 xmlns="28a23bd2-3667-4f3a-9f15-05647af9d31b" xsi:nil="true"/>
    <Activity_x0020_Complete_x0020_Date xmlns="bfc2574c-8110-4e43-9784-1ee86de75c6c" xsi:nil="true"/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xsi:type="xsd:dateTime"&gt;0001-01-01T00:00:00&lt;/LastProcessedDateValue&gt;&lt;/RecordData&gt;</CWRMItemRecordData>
    <CWRMItemRecordCategory xmlns="650fffc6-a86a-4844-afad-966e4497fd3d" xsi:nil="true"/>
    <CWRMItemRecordState xmlns="650fffc6-a86a-4844-afad-966e4497fd3d" xsi:nil="true"/>
    <CWRMItemRecordDeclaredDate xmlns="650fffc6-a86a-4844-afad-966e4497fd3d" xsi:nil="true"/>
    <_dlc_DocId xmlns="bfc2574c-8110-4e43-9784-1ee86de75c6c">0000019ZCL</_dlc_DocId>
    <CWRMItemRecordVital xmlns="650fffc6-a86a-4844-afad-966e4497fd3d">false</CWRMItemRecordVital>
    <CWRMItemRecordStatus xmlns="650fffc6-a86a-4844-afad-966e4497fd3d" xsi:nil="true"/>
    <_dlc_DocIdUrl xmlns="bfc2574c-8110-4e43-9784-1ee86de75c6c">
      <Url>https://share.aeso.ca/sites/records-law/LARA/_layouts/15/DocIdRedir.aspx?ID=0000019ZCL</Url>
      <Description>0000019ZCL</Description>
    </_dlc_DocIdUrl>
    <CWRMItemUniqueId xmlns="650fffc6-a86a-4844-afad-966e4497fd3d">0000019ZCL</CWRMItemUniqueId>
  </documentManagement>
</p:properties>
</file>

<file path=customXml/itemProps1.xml><?xml version="1.0" encoding="utf-8"?>
<ds:datastoreItem xmlns:ds="http://schemas.openxmlformats.org/officeDocument/2006/customXml" ds:itemID="{3607F76C-87EC-474E-823E-4D8DD380241B}"/>
</file>

<file path=customXml/itemProps2.xml><?xml version="1.0" encoding="utf-8"?>
<ds:datastoreItem xmlns:ds="http://schemas.openxmlformats.org/officeDocument/2006/customXml" ds:itemID="{4E97479A-505D-4A75-97D0-79CA67D70F19}"/>
</file>

<file path=customXml/itemProps3.xml><?xml version="1.0" encoding="utf-8"?>
<ds:datastoreItem xmlns:ds="http://schemas.openxmlformats.org/officeDocument/2006/customXml" ds:itemID="{2854F2ED-0ADB-48AA-8B7D-BD98F56FEDB7}"/>
</file>

<file path=customXml/itemProps4.xml><?xml version="1.0" encoding="utf-8"?>
<ds:datastoreItem xmlns:ds="http://schemas.openxmlformats.org/officeDocument/2006/customXml" ds:itemID="{D5B50533-819E-44FB-A4D0-386BBD0588E9}"/>
</file>

<file path=customXml/itemProps5.xml><?xml version="1.0" encoding="utf-8"?>
<ds:datastoreItem xmlns:ds="http://schemas.openxmlformats.org/officeDocument/2006/customXml" ds:itemID="{3C4A4815-9882-4C05-99F0-991A7CBA1C62}"/>
</file>

<file path=customXml/itemProps6.xml><?xml version="1.0" encoding="utf-8"?>
<ds:datastoreItem xmlns:ds="http://schemas.openxmlformats.org/officeDocument/2006/customXml" ds:itemID="{0BCB438D-5781-4058-92BB-02A3A62D9661}"/>
</file>

<file path=customXml/itemProps7.xml><?xml version="1.0" encoding="utf-8"?>
<ds:datastoreItem xmlns:ds="http://schemas.openxmlformats.org/officeDocument/2006/customXml" ds:itemID="{CE0CD4D1-AB08-42E1-9DEF-0BCE76CBBD2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2022-05-09T20:35:00Z</dcterms:created>
  <dcterms:modified xsi:type="dcterms:W3CDTF">2022-05-09T20:35:00Z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5" name="Related ADs">
    <vt:lpwstr/>
  </property>
  <property fmtid="{D5CDD505-2E9C-101B-9397-08002B2CF9AE}" pid="9" name="Confidentiality Classification">
    <vt:lpwstr>1271;#AESO Internal|fe2129cc-e616-4c1e-9a39-b6921e014562</vt:lpwstr>
  </property>
  <property fmtid="{D5CDD505-2E9C-101B-9397-08002B2CF9AE}" pid="12" name="Related IDs">
    <vt:lpwstr/>
  </property>
  <property fmtid="{D5CDD505-2E9C-101B-9397-08002B2CF9AE}" pid="14" name="Division">
    <vt:lpwstr/>
  </property>
  <property fmtid="{D5CDD505-2E9C-101B-9397-08002B2CF9AE}" pid="16" name="Business Unit(s)">
    <vt:lpwstr/>
  </property>
  <property fmtid="{D5CDD505-2E9C-101B-9397-08002B2CF9AE}" pid="18" name="LARA Category0">
    <vt:lpwstr>1348;#Stakeholder Engagement|6220e8f1-840d-40ad-b65f-2194c8e12464</vt:lpwstr>
  </property>
  <property fmtid="{D5CDD505-2E9C-101B-9397-08002B2CF9AE}" pid="19" name="_dlc_DocIdItemGuid">
    <vt:lpwstr>bcf44f81-7299-4a38-8318-5c7c700301a6</vt:lpwstr>
  </property>
  <property fmtid="{D5CDD505-2E9C-101B-9397-08002B2CF9AE}" pid="20" name="CWRMItemRecordClassification">
    <vt:lpwstr>1322;#REG-01 - Rules Development|d8c07a69-2ac5-4b34-96d7-e1add9f5d27b</vt:lpwstr>
  </property>
</Properties>
</file>