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24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77"/>
      </w:tblGrid>
      <w:tr w:rsidR="00F870EB" w14:paraId="2AC79D36" w14:textId="77777777" w:rsidTr="008E35E4">
        <w:trPr>
          <w:trHeight w:val="1430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3"/>
              <w:gridCol w:w="2496"/>
              <w:gridCol w:w="877"/>
              <w:gridCol w:w="2995"/>
            </w:tblGrid>
            <w:tr w:rsidR="00F870EB" w14:paraId="2AC79D24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0" w14:textId="77777777" w:rsidR="00F870EB" w:rsidRDefault="007542C3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1" w14:textId="6A8BF264" w:rsidR="00F870EB" w:rsidRDefault="00A15A1B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February 2, 2023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2" w14:textId="77777777" w:rsidR="00F870EB" w:rsidRDefault="007542C3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3" w14:textId="69BA5465" w:rsidR="00F870EB" w:rsidRDefault="00107B54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March 7</w:t>
                  </w:r>
                  <w:r w:rsidR="00A15A1B">
                    <w:rPr>
                      <w:rFonts w:ascii="Arial" w:hAnsi="Arial" w:cs="Arial"/>
                      <w:sz w:val="20"/>
                      <w:szCs w:val="20"/>
                    </w:rPr>
                    <w:t>, 2023</w:t>
                  </w:r>
                </w:p>
              </w:tc>
            </w:tr>
            <w:tr w:rsidR="00F870EB" w14:paraId="2AC79D27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5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6" w14:textId="77777777" w:rsidR="00F870EB" w:rsidRDefault="007542C3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F870EB" w14:paraId="2AC79D2A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8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 [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yyyy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/mm/dd]: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9" w14:textId="77777777" w:rsidR="00F870EB" w:rsidRDefault="00F870EB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AC79D2B" w14:textId="77777777" w:rsidR="00F870EB" w:rsidRDefault="00F870EB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7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8"/>
              <w:gridCol w:w="2473"/>
            </w:tblGrid>
            <w:tr w:rsidR="00F870EB" w14:paraId="2AC79D2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C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D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F870EB" w14:paraId="2AC79D3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2F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30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F870EB" w14:paraId="2AC79D3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32" w14:textId="77777777" w:rsidR="00F870EB" w:rsidRDefault="007542C3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79D33" w14:textId="77777777" w:rsidR="00F870EB" w:rsidRDefault="00F870EB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AC79D35" w14:textId="77777777" w:rsidR="00F870EB" w:rsidRDefault="00F870EB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8FD006" w14:textId="77777777" w:rsidR="008E35E4" w:rsidRDefault="008E35E4" w:rsidP="00122E15">
      <w:pPr>
        <w:keepNext/>
        <w:spacing w:before="120" w:after="120"/>
        <w:ind w:left="-630" w:right="-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Instructions: </w:t>
      </w:r>
    </w:p>
    <w:p w14:paraId="1F2C727D" w14:textId="77777777" w:rsidR="008E35E4" w:rsidRDefault="008E35E4" w:rsidP="00122E15">
      <w:pPr>
        <w:pStyle w:val="ListParagraph"/>
        <w:keepNext/>
        <w:numPr>
          <w:ilvl w:val="0"/>
          <w:numId w:val="32"/>
        </w:numPr>
        <w:spacing w:before="120" w:after="120"/>
        <w:ind w:left="90" w:right="-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fill out the section above as indicated.</w:t>
      </w:r>
    </w:p>
    <w:p w14:paraId="0730E601" w14:textId="2BD56E21" w:rsidR="008E35E4" w:rsidRDefault="008E35E4" w:rsidP="00122E15">
      <w:pPr>
        <w:pStyle w:val="ListParagraph"/>
        <w:keepNext/>
        <w:numPr>
          <w:ilvl w:val="0"/>
          <w:numId w:val="32"/>
        </w:numPr>
        <w:spacing w:before="120" w:after="120"/>
        <w:ind w:left="90" w:right="-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refer back to the “related material” on the Stakeholder Engagement page on the AESO website. </w:t>
      </w:r>
    </w:p>
    <w:p w14:paraId="79F45780" w14:textId="77777777" w:rsidR="008E35E4" w:rsidRDefault="008E35E4" w:rsidP="00122E15">
      <w:pPr>
        <w:pStyle w:val="ListParagraph"/>
        <w:keepNext/>
        <w:numPr>
          <w:ilvl w:val="0"/>
          <w:numId w:val="32"/>
        </w:numPr>
        <w:spacing w:before="120" w:after="120"/>
        <w:ind w:left="90" w:right="-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respond to the questions below and provide your specific comments, if any. Blank boxes will be interpreted as </w:t>
      </w:r>
      <w:proofErr w:type="spellStart"/>
      <w:r>
        <w:rPr>
          <w:rFonts w:ascii="Arial" w:hAnsi="Arial" w:cs="Arial"/>
          <w:sz w:val="20"/>
          <w:szCs w:val="20"/>
        </w:rPr>
        <w:t>favourable</w:t>
      </w:r>
      <w:proofErr w:type="spellEnd"/>
      <w:r>
        <w:rPr>
          <w:rFonts w:ascii="Arial" w:hAnsi="Arial" w:cs="Arial"/>
          <w:sz w:val="20"/>
          <w:szCs w:val="20"/>
        </w:rPr>
        <w:t xml:space="preserve"> comments.  </w:t>
      </w:r>
    </w:p>
    <w:p w14:paraId="4502180B" w14:textId="51A2FC20" w:rsidR="00FD68B5" w:rsidRPr="00122E15" w:rsidRDefault="00FD68B5" w:rsidP="00122E15">
      <w:pPr>
        <w:keepNext/>
        <w:spacing w:after="240"/>
        <w:ind w:left="-630" w:right="-576"/>
        <w:rPr>
          <w:rFonts w:ascii="Arial" w:hAnsi="Arial" w:cs="Arial"/>
          <w:bCs/>
          <w:iCs/>
          <w:sz w:val="20"/>
          <w:szCs w:val="20"/>
        </w:rPr>
      </w:pPr>
      <w:r w:rsidRPr="00122E15">
        <w:rPr>
          <w:rFonts w:ascii="Arial" w:hAnsi="Arial" w:cs="Arial"/>
          <w:bCs/>
          <w:iCs/>
          <w:sz w:val="20"/>
          <w:szCs w:val="20"/>
        </w:rPr>
        <w:t xml:space="preserve">In the </w:t>
      </w:r>
      <w:r w:rsidR="00B8589A">
        <w:rPr>
          <w:rFonts w:ascii="Arial" w:hAnsi="Arial" w:cs="Arial"/>
          <w:bCs/>
          <w:iCs/>
          <w:sz w:val="20"/>
          <w:szCs w:val="20"/>
        </w:rPr>
        <w:t>Stakeholder Consultation Session 3</w:t>
      </w:r>
      <w:r w:rsidRPr="00122E15">
        <w:rPr>
          <w:rFonts w:ascii="Arial" w:hAnsi="Arial" w:cs="Arial"/>
          <w:bCs/>
          <w:iCs/>
          <w:sz w:val="20"/>
          <w:szCs w:val="20"/>
        </w:rPr>
        <w:t xml:space="preserve"> on Septem</w:t>
      </w:r>
      <w:r w:rsidR="00B97A8A" w:rsidRPr="00122E15">
        <w:rPr>
          <w:rFonts w:ascii="Arial" w:hAnsi="Arial" w:cs="Arial"/>
          <w:bCs/>
          <w:iCs/>
          <w:sz w:val="20"/>
          <w:szCs w:val="20"/>
        </w:rPr>
        <w:t>b</w:t>
      </w:r>
      <w:r w:rsidRPr="00122E15">
        <w:rPr>
          <w:rFonts w:ascii="Arial" w:hAnsi="Arial" w:cs="Arial"/>
          <w:bCs/>
          <w:iCs/>
          <w:sz w:val="20"/>
          <w:szCs w:val="20"/>
        </w:rPr>
        <w:t>er 8, 2022, the AESO shared the following recommendations related to offer transparency in the operating reserve market</w:t>
      </w:r>
      <w:r w:rsidR="00AA1A3C">
        <w:rPr>
          <w:rFonts w:ascii="Arial" w:hAnsi="Arial" w:cs="Arial"/>
          <w:bCs/>
          <w:iCs/>
          <w:sz w:val="20"/>
          <w:szCs w:val="20"/>
        </w:rPr>
        <w:t xml:space="preserve"> (the AESO’s offer transparency recommendation)</w:t>
      </w:r>
      <w:r w:rsidR="00B8589A">
        <w:rPr>
          <w:rFonts w:ascii="Arial" w:hAnsi="Arial" w:cs="Arial"/>
          <w:bCs/>
          <w:iCs/>
          <w:sz w:val="20"/>
          <w:szCs w:val="20"/>
        </w:rPr>
        <w:t>:</w:t>
      </w:r>
    </w:p>
    <w:p w14:paraId="469447E8" w14:textId="47345580" w:rsidR="00FD68B5" w:rsidRPr="00122E15" w:rsidRDefault="00FD68B5" w:rsidP="00122E15">
      <w:pPr>
        <w:pStyle w:val="ListParagraph"/>
        <w:keepNext/>
        <w:numPr>
          <w:ilvl w:val="0"/>
          <w:numId w:val="33"/>
        </w:numPr>
        <w:spacing w:after="240"/>
        <w:ind w:right="-576"/>
        <w:rPr>
          <w:rFonts w:ascii="Arial" w:hAnsi="Arial" w:cs="Arial"/>
          <w:bCs/>
          <w:iCs/>
          <w:sz w:val="20"/>
          <w:szCs w:val="20"/>
        </w:rPr>
      </w:pPr>
      <w:r w:rsidRPr="00122E15">
        <w:rPr>
          <w:rFonts w:ascii="Arial" w:hAnsi="Arial" w:cs="Arial"/>
          <w:bCs/>
          <w:iCs/>
          <w:sz w:val="20"/>
          <w:szCs w:val="20"/>
        </w:rPr>
        <w:t>Move to a sealed-bid format</w:t>
      </w:r>
    </w:p>
    <w:p w14:paraId="03ABD585" w14:textId="659A1204" w:rsidR="00FD68B5" w:rsidRPr="00122E15" w:rsidRDefault="00FD68B5" w:rsidP="00122E15">
      <w:pPr>
        <w:pStyle w:val="ListParagraph"/>
        <w:keepNext/>
        <w:numPr>
          <w:ilvl w:val="1"/>
          <w:numId w:val="33"/>
        </w:numPr>
        <w:spacing w:after="240"/>
        <w:ind w:right="-576"/>
        <w:rPr>
          <w:rFonts w:ascii="Arial" w:hAnsi="Arial" w:cs="Arial"/>
          <w:bCs/>
          <w:iCs/>
          <w:sz w:val="20"/>
          <w:szCs w:val="20"/>
        </w:rPr>
      </w:pPr>
      <w:r w:rsidRPr="00122E15">
        <w:rPr>
          <w:rFonts w:ascii="Arial" w:hAnsi="Arial" w:cs="Arial"/>
          <w:bCs/>
          <w:iCs/>
          <w:sz w:val="20"/>
          <w:szCs w:val="20"/>
        </w:rPr>
        <w:t>Continue to display the price and volume of the AESO bid during the auction</w:t>
      </w:r>
    </w:p>
    <w:p w14:paraId="62B21DBC" w14:textId="3C7D69E8" w:rsidR="00FD68B5" w:rsidRPr="00122E15" w:rsidRDefault="00FD68B5" w:rsidP="00122E15">
      <w:pPr>
        <w:pStyle w:val="ListParagraph"/>
        <w:keepNext/>
        <w:numPr>
          <w:ilvl w:val="1"/>
          <w:numId w:val="33"/>
        </w:numPr>
        <w:spacing w:after="240"/>
        <w:ind w:right="-576"/>
        <w:rPr>
          <w:rFonts w:ascii="Arial" w:hAnsi="Arial" w:cs="Arial"/>
          <w:bCs/>
          <w:iCs/>
          <w:sz w:val="20"/>
          <w:szCs w:val="20"/>
        </w:rPr>
      </w:pPr>
      <w:r w:rsidRPr="00122E15">
        <w:rPr>
          <w:rFonts w:ascii="Arial" w:hAnsi="Arial" w:cs="Arial"/>
          <w:bCs/>
          <w:iCs/>
          <w:sz w:val="20"/>
          <w:szCs w:val="20"/>
        </w:rPr>
        <w:t xml:space="preserve">Display the </w:t>
      </w:r>
      <w:r w:rsidR="00B97A8A" w:rsidRPr="00122E15">
        <w:rPr>
          <w:rFonts w:ascii="Arial" w:hAnsi="Arial" w:cs="Arial"/>
          <w:bCs/>
          <w:iCs/>
          <w:sz w:val="20"/>
          <w:szCs w:val="20"/>
        </w:rPr>
        <w:t xml:space="preserve">total </w:t>
      </w:r>
      <w:r w:rsidRPr="00122E15">
        <w:rPr>
          <w:rFonts w:ascii="Arial" w:hAnsi="Arial" w:cs="Arial"/>
          <w:bCs/>
          <w:iCs/>
          <w:sz w:val="20"/>
          <w:szCs w:val="20"/>
        </w:rPr>
        <w:t>cumulative offer volume during the auction</w:t>
      </w:r>
    </w:p>
    <w:p w14:paraId="657E196B" w14:textId="799BF507" w:rsidR="00B97A8A" w:rsidRDefault="00FD68B5" w:rsidP="00B97A8A">
      <w:pPr>
        <w:pStyle w:val="ListParagraph"/>
        <w:keepNext/>
        <w:numPr>
          <w:ilvl w:val="1"/>
          <w:numId w:val="33"/>
        </w:numPr>
        <w:spacing w:after="240"/>
        <w:ind w:right="-576"/>
        <w:rPr>
          <w:rFonts w:ascii="Arial" w:hAnsi="Arial" w:cs="Arial"/>
          <w:bCs/>
          <w:iCs/>
          <w:sz w:val="20"/>
          <w:szCs w:val="20"/>
        </w:rPr>
      </w:pPr>
      <w:r w:rsidRPr="00122E15">
        <w:rPr>
          <w:rFonts w:ascii="Arial" w:hAnsi="Arial" w:cs="Arial"/>
          <w:bCs/>
          <w:iCs/>
          <w:sz w:val="20"/>
          <w:szCs w:val="20"/>
        </w:rPr>
        <w:t xml:space="preserve">Publish the </w:t>
      </w:r>
      <w:r w:rsidR="00B97A8A" w:rsidRPr="00122E15">
        <w:rPr>
          <w:rFonts w:ascii="Arial" w:hAnsi="Arial" w:cs="Arial"/>
          <w:bCs/>
          <w:iCs/>
          <w:sz w:val="20"/>
          <w:szCs w:val="20"/>
        </w:rPr>
        <w:t>clearing price and volume through Watt-Ex immediately at auction close and through the public Energy Trading System (ETS) website daily</w:t>
      </w:r>
    </w:p>
    <w:p w14:paraId="6F13F684" w14:textId="441155FC" w:rsidR="00B97A8A" w:rsidRPr="00122E15" w:rsidRDefault="00B97A8A" w:rsidP="00122E15">
      <w:pPr>
        <w:pStyle w:val="ListParagraph"/>
        <w:keepNext/>
        <w:numPr>
          <w:ilvl w:val="0"/>
          <w:numId w:val="33"/>
        </w:numPr>
        <w:spacing w:after="240"/>
        <w:ind w:right="-576"/>
        <w:rPr>
          <w:rFonts w:ascii="Arial" w:hAnsi="Arial" w:cs="Arial"/>
          <w:bCs/>
          <w:iCs/>
          <w:sz w:val="20"/>
          <w:szCs w:val="20"/>
        </w:rPr>
      </w:pPr>
      <w:r w:rsidRPr="00B97A8A">
        <w:rPr>
          <w:rFonts w:ascii="Arial" w:hAnsi="Arial" w:cs="Arial"/>
          <w:bCs/>
          <w:iCs/>
          <w:sz w:val="20"/>
          <w:szCs w:val="20"/>
        </w:rPr>
        <w:t>Publish offer price, volume, asset</w:t>
      </w:r>
      <w:r>
        <w:rPr>
          <w:rFonts w:ascii="Arial" w:hAnsi="Arial" w:cs="Arial"/>
          <w:bCs/>
          <w:iCs/>
          <w:sz w:val="20"/>
          <w:szCs w:val="20"/>
        </w:rPr>
        <w:t xml:space="preserve">, </w:t>
      </w:r>
      <w:r w:rsidRPr="00122E15">
        <w:rPr>
          <w:rFonts w:ascii="Arial" w:hAnsi="Arial" w:cs="Arial"/>
          <w:bCs/>
          <w:iCs/>
          <w:sz w:val="20"/>
          <w:szCs w:val="20"/>
        </w:rPr>
        <w:t>and offer control party with a 60-day lag for all offered volumes</w:t>
      </w:r>
    </w:p>
    <w:p w14:paraId="1BFA94FE" w14:textId="7B714F05" w:rsidR="00B97A8A" w:rsidRPr="00122E15" w:rsidRDefault="00B97A8A" w:rsidP="00B8589A">
      <w:pPr>
        <w:keepNext/>
        <w:spacing w:after="240"/>
        <w:ind w:left="-630" w:right="-576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In consideration of the London Economics International (LEI) Report submitted by TransAlta</w:t>
      </w:r>
      <w:r w:rsidR="00B8589A">
        <w:rPr>
          <w:rFonts w:ascii="Arial" w:hAnsi="Arial" w:cs="Arial"/>
          <w:bCs/>
          <w:iCs/>
          <w:sz w:val="20"/>
          <w:szCs w:val="20"/>
        </w:rPr>
        <w:t xml:space="preserve"> on September 12, 2022 (the LEI Report),</w:t>
      </w:r>
      <w:r>
        <w:rPr>
          <w:rFonts w:ascii="Arial" w:hAnsi="Arial" w:cs="Arial"/>
          <w:bCs/>
          <w:iCs/>
          <w:sz w:val="20"/>
          <w:szCs w:val="20"/>
        </w:rPr>
        <w:t xml:space="preserve"> the AESO deferred further process on offer transparency until </w:t>
      </w:r>
      <w:r w:rsidR="00B8589A">
        <w:rPr>
          <w:rFonts w:ascii="Arial" w:hAnsi="Arial" w:cs="Arial"/>
          <w:bCs/>
          <w:iCs/>
          <w:sz w:val="20"/>
          <w:szCs w:val="20"/>
        </w:rPr>
        <w:t xml:space="preserve">the AESO </w:t>
      </w:r>
      <w:r>
        <w:rPr>
          <w:rFonts w:ascii="Arial" w:hAnsi="Arial" w:cs="Arial"/>
          <w:bCs/>
          <w:iCs/>
          <w:sz w:val="20"/>
          <w:szCs w:val="20"/>
        </w:rPr>
        <w:t xml:space="preserve">had time to review and consider the information in the </w:t>
      </w:r>
      <w:r w:rsidR="00B8589A">
        <w:rPr>
          <w:rFonts w:ascii="Arial" w:hAnsi="Arial" w:cs="Arial"/>
          <w:bCs/>
          <w:iCs/>
          <w:sz w:val="20"/>
          <w:szCs w:val="20"/>
        </w:rPr>
        <w:t>LEI R</w:t>
      </w:r>
      <w:r>
        <w:rPr>
          <w:rFonts w:ascii="Arial" w:hAnsi="Arial" w:cs="Arial"/>
          <w:bCs/>
          <w:iCs/>
          <w:sz w:val="20"/>
          <w:szCs w:val="20"/>
        </w:rPr>
        <w:t>eport.</w:t>
      </w:r>
      <w:r w:rsidR="00D1608A">
        <w:rPr>
          <w:rFonts w:ascii="Arial" w:hAnsi="Arial" w:cs="Arial"/>
          <w:bCs/>
          <w:iCs/>
          <w:sz w:val="20"/>
          <w:szCs w:val="20"/>
        </w:rPr>
        <w:t xml:space="preserve"> </w:t>
      </w:r>
      <w:r w:rsidR="00B8589A">
        <w:rPr>
          <w:rFonts w:ascii="Arial" w:hAnsi="Arial" w:cs="Arial"/>
          <w:bCs/>
          <w:iCs/>
          <w:sz w:val="20"/>
          <w:szCs w:val="20"/>
        </w:rPr>
        <w:t xml:space="preserve">During this time, the </w:t>
      </w:r>
      <w:r w:rsidR="00D1608A">
        <w:rPr>
          <w:rFonts w:ascii="Arial" w:hAnsi="Arial" w:cs="Arial"/>
          <w:bCs/>
          <w:iCs/>
          <w:sz w:val="20"/>
          <w:szCs w:val="20"/>
        </w:rPr>
        <w:t xml:space="preserve">AESO </w:t>
      </w:r>
      <w:r w:rsidR="00B8589A">
        <w:rPr>
          <w:rFonts w:ascii="Arial" w:hAnsi="Arial" w:cs="Arial"/>
          <w:bCs/>
          <w:iCs/>
          <w:sz w:val="20"/>
          <w:szCs w:val="20"/>
        </w:rPr>
        <w:t xml:space="preserve">also </w:t>
      </w:r>
      <w:r w:rsidR="00D1608A">
        <w:rPr>
          <w:rFonts w:ascii="Arial" w:hAnsi="Arial" w:cs="Arial"/>
          <w:bCs/>
          <w:iCs/>
          <w:sz w:val="20"/>
          <w:szCs w:val="20"/>
        </w:rPr>
        <w:t>engaged Charles River Associates (CRA) to provide an independent assessment of the AESO’s offer transparency recommendation</w:t>
      </w:r>
      <w:r w:rsidR="00B8589A">
        <w:rPr>
          <w:rFonts w:ascii="Arial" w:hAnsi="Arial" w:cs="Arial"/>
          <w:bCs/>
          <w:iCs/>
          <w:sz w:val="20"/>
          <w:szCs w:val="20"/>
        </w:rPr>
        <w:t xml:space="preserve"> (the CRA Report) and</w:t>
      </w:r>
      <w:r w:rsidR="00D1608A">
        <w:rPr>
          <w:rFonts w:ascii="Arial" w:hAnsi="Arial" w:cs="Arial"/>
          <w:bCs/>
          <w:iCs/>
          <w:sz w:val="20"/>
          <w:szCs w:val="20"/>
        </w:rPr>
        <w:t xml:space="preserve"> sought the MSA’s views on the </w:t>
      </w:r>
      <w:r w:rsidR="00B8589A">
        <w:rPr>
          <w:rFonts w:ascii="Arial" w:hAnsi="Arial" w:cs="Arial"/>
          <w:bCs/>
          <w:iCs/>
          <w:sz w:val="20"/>
          <w:szCs w:val="20"/>
        </w:rPr>
        <w:t xml:space="preserve">AESO’s </w:t>
      </w:r>
      <w:r w:rsidR="00D1608A">
        <w:rPr>
          <w:rFonts w:ascii="Arial" w:hAnsi="Arial" w:cs="Arial"/>
          <w:bCs/>
          <w:iCs/>
          <w:sz w:val="20"/>
          <w:szCs w:val="20"/>
        </w:rPr>
        <w:t>offer transparency recommendation</w:t>
      </w:r>
      <w:r w:rsidR="00AA1A3C">
        <w:rPr>
          <w:rFonts w:ascii="Arial" w:hAnsi="Arial" w:cs="Arial"/>
          <w:bCs/>
          <w:iCs/>
          <w:sz w:val="20"/>
          <w:szCs w:val="20"/>
        </w:rPr>
        <w:t xml:space="preserve"> (MSA </w:t>
      </w:r>
      <w:r w:rsidR="000F4972">
        <w:rPr>
          <w:rFonts w:ascii="Arial" w:hAnsi="Arial" w:cs="Arial"/>
          <w:bCs/>
          <w:iCs/>
          <w:sz w:val="20"/>
          <w:szCs w:val="20"/>
        </w:rPr>
        <w:t>L</w:t>
      </w:r>
      <w:r w:rsidR="00AA1A3C">
        <w:rPr>
          <w:rFonts w:ascii="Arial" w:hAnsi="Arial" w:cs="Arial"/>
          <w:bCs/>
          <w:iCs/>
          <w:sz w:val="20"/>
          <w:szCs w:val="20"/>
        </w:rPr>
        <w:t>etter)</w:t>
      </w:r>
      <w:r w:rsidR="00D1608A">
        <w:rPr>
          <w:rFonts w:ascii="Arial" w:hAnsi="Arial" w:cs="Arial"/>
          <w:bCs/>
          <w:iCs/>
          <w:sz w:val="20"/>
          <w:szCs w:val="20"/>
        </w:rPr>
        <w:t xml:space="preserve">. The LEI Report, CRA Report, and </w:t>
      </w:r>
      <w:r w:rsidR="00AA1A3C">
        <w:rPr>
          <w:rFonts w:ascii="Arial" w:hAnsi="Arial" w:cs="Arial"/>
          <w:bCs/>
          <w:iCs/>
          <w:sz w:val="20"/>
          <w:szCs w:val="20"/>
        </w:rPr>
        <w:t xml:space="preserve">MSA </w:t>
      </w:r>
      <w:r w:rsidR="000F4972">
        <w:rPr>
          <w:rFonts w:ascii="Arial" w:hAnsi="Arial" w:cs="Arial"/>
          <w:bCs/>
          <w:iCs/>
          <w:sz w:val="20"/>
          <w:szCs w:val="20"/>
        </w:rPr>
        <w:t>L</w:t>
      </w:r>
      <w:r w:rsidR="00AA1A3C">
        <w:rPr>
          <w:rFonts w:ascii="Arial" w:hAnsi="Arial" w:cs="Arial"/>
          <w:bCs/>
          <w:iCs/>
          <w:sz w:val="20"/>
          <w:szCs w:val="20"/>
        </w:rPr>
        <w:t>etter</w:t>
      </w:r>
      <w:r w:rsidR="00D1608A">
        <w:rPr>
          <w:rFonts w:ascii="Arial" w:hAnsi="Arial" w:cs="Arial"/>
          <w:bCs/>
          <w:iCs/>
          <w:sz w:val="20"/>
          <w:szCs w:val="20"/>
        </w:rPr>
        <w:t xml:space="preserve"> </w:t>
      </w:r>
      <w:r w:rsidR="000F7508">
        <w:rPr>
          <w:rFonts w:ascii="Arial" w:hAnsi="Arial" w:cs="Arial"/>
          <w:bCs/>
          <w:iCs/>
          <w:sz w:val="20"/>
          <w:szCs w:val="20"/>
        </w:rPr>
        <w:t xml:space="preserve">are </w:t>
      </w:r>
      <w:r w:rsidR="00D1608A">
        <w:rPr>
          <w:rFonts w:ascii="Arial" w:hAnsi="Arial" w:cs="Arial"/>
          <w:bCs/>
          <w:iCs/>
          <w:sz w:val="20"/>
          <w:szCs w:val="20"/>
        </w:rPr>
        <w:t>available on the Stakeholder Engagement page on the AESO website.</w:t>
      </w:r>
    </w:p>
    <w:p w14:paraId="2DCDD0F9" w14:textId="3E732B45" w:rsidR="008E35E4" w:rsidRDefault="002005BC" w:rsidP="00122E15">
      <w:pPr>
        <w:keepNext/>
        <w:spacing w:after="240"/>
        <w:ind w:left="-630" w:right="-576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T</w:t>
      </w:r>
      <w:r w:rsidR="00D1608A">
        <w:rPr>
          <w:rFonts w:ascii="Arial" w:hAnsi="Arial" w:cs="Arial"/>
          <w:bCs/>
          <w:iCs/>
          <w:sz w:val="20"/>
          <w:szCs w:val="20"/>
        </w:rPr>
        <w:t xml:space="preserve">he AESO is now seeking further feedback from Stakeholders on the AESO’s offer transparency recommendation. </w:t>
      </w:r>
    </w:p>
    <w:tbl>
      <w:tblPr>
        <w:tblW w:w="14645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57"/>
        <w:gridCol w:w="5580"/>
        <w:gridCol w:w="8208"/>
      </w:tblGrid>
      <w:tr w:rsidR="00F870EB" w14:paraId="2AC79D3F" w14:textId="77777777">
        <w:trPr>
          <w:tblHeader/>
        </w:trPr>
        <w:tc>
          <w:tcPr>
            <w:tcW w:w="857" w:type="dxa"/>
            <w:shd w:val="clear" w:color="auto" w:fill="365F91"/>
          </w:tcPr>
          <w:p w14:paraId="2AC79D3C" w14:textId="32A4DF1C" w:rsidR="00F870EB" w:rsidRDefault="00F870EB">
            <w:pPr>
              <w:keepNext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5580" w:type="dxa"/>
            <w:shd w:val="clear" w:color="auto" w:fill="365F91"/>
          </w:tcPr>
          <w:p w14:paraId="2AC79D3D" w14:textId="10C3F2F4" w:rsidR="00F870EB" w:rsidRDefault="009C1900">
            <w:pPr>
              <w:keepNext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AESO Questions to Stakeholders</w:t>
            </w:r>
          </w:p>
        </w:tc>
        <w:tc>
          <w:tcPr>
            <w:tcW w:w="8208" w:type="dxa"/>
            <w:shd w:val="clear" w:color="auto" w:fill="365F91"/>
          </w:tcPr>
          <w:p w14:paraId="2AC79D3E" w14:textId="77777777" w:rsidR="00F870EB" w:rsidRDefault="007542C3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Stakeholder comments </w:t>
            </w:r>
          </w:p>
        </w:tc>
      </w:tr>
      <w:tr w:rsidR="00F870EB" w14:paraId="2AC79D43" w14:textId="77777777">
        <w:trPr>
          <w:trHeight w:val="1296"/>
        </w:trPr>
        <w:tc>
          <w:tcPr>
            <w:tcW w:w="857" w:type="dxa"/>
            <w:shd w:val="clear" w:color="auto" w:fill="auto"/>
          </w:tcPr>
          <w:p w14:paraId="2AC79D40" w14:textId="77777777" w:rsidR="00F870EB" w:rsidRDefault="007542C3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80" w:type="dxa"/>
          </w:tcPr>
          <w:p w14:paraId="2AC79D41" w14:textId="6A27E17D" w:rsidR="00D1608A" w:rsidRDefault="00D868E9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D1608A">
              <w:rPr>
                <w:rFonts w:ascii="Arial" w:hAnsi="Arial" w:cs="Arial"/>
                <w:sz w:val="20"/>
                <w:szCs w:val="20"/>
              </w:rPr>
              <w:t xml:space="preserve">o you </w:t>
            </w:r>
            <w:r w:rsidR="002005BC">
              <w:rPr>
                <w:rFonts w:ascii="Arial" w:hAnsi="Arial" w:cs="Arial"/>
                <w:sz w:val="20"/>
                <w:szCs w:val="20"/>
              </w:rPr>
              <w:t xml:space="preserve">agree or disagree with the AESO’s offer transparency recommendation? Please elaborate on your response. </w:t>
            </w:r>
          </w:p>
        </w:tc>
        <w:tc>
          <w:tcPr>
            <w:tcW w:w="8208" w:type="dxa"/>
            <w:shd w:val="clear" w:color="auto" w:fill="auto"/>
          </w:tcPr>
          <w:p w14:paraId="2AC79D42" w14:textId="77777777" w:rsidR="00F870EB" w:rsidRDefault="00F870E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C79D58" w14:textId="77777777" w:rsidR="00F870EB" w:rsidRDefault="00F870EB" w:rsidP="00845C36">
      <w:pPr>
        <w:rPr>
          <w:rFonts w:ascii="Arial" w:hAnsi="Arial" w:cs="Arial"/>
          <w:sz w:val="20"/>
          <w:szCs w:val="20"/>
        </w:rPr>
      </w:pPr>
    </w:p>
    <w:sectPr w:rsidR="00F870EB" w:rsidSect="00845C36"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 w:code="1"/>
      <w:pgMar w:top="1890" w:right="1530" w:bottom="1440" w:left="1296" w:header="567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A3F7C" w14:textId="77777777" w:rsidR="00F870EB" w:rsidRDefault="007542C3">
      <w:r>
        <w:separator/>
      </w:r>
    </w:p>
    <w:p w14:paraId="18925E54" w14:textId="77777777" w:rsidR="00F870EB" w:rsidRDefault="00F870EB"/>
  </w:endnote>
  <w:endnote w:type="continuationSeparator" w:id="0">
    <w:p w14:paraId="303118F5" w14:textId="77777777" w:rsidR="00F870EB" w:rsidRDefault="007542C3">
      <w:r>
        <w:continuationSeparator/>
      </w:r>
    </w:p>
    <w:p w14:paraId="66972EB1" w14:textId="77777777" w:rsidR="00F870EB" w:rsidRDefault="00F870EB"/>
  </w:endnote>
  <w:endnote w:type="continuationNotice" w:id="1">
    <w:p w14:paraId="4E8DDAA0" w14:textId="77777777" w:rsidR="00F86868" w:rsidRDefault="00F868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3590" w:type="dxa"/>
      <w:tblInd w:w="-1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5862"/>
      <w:gridCol w:w="1465"/>
      <w:gridCol w:w="6263"/>
    </w:tblGrid>
    <w:tr w:rsidR="00F870EB" w14:paraId="2AC79D69" w14:textId="77777777">
      <w:trPr>
        <w:trHeight w:val="360"/>
      </w:trPr>
      <w:sdt>
        <w:sdtPr>
          <w:rPr>
            <w:rStyle w:val="FooterChar"/>
            <w:rFonts w:cs="Arial"/>
            <w:sz w:val="16"/>
            <w:szCs w:val="16"/>
          </w:rPr>
          <w:alias w:val="Footer"/>
          <w:tag w:val="Footer"/>
          <w:id w:val="3951560"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5862" w:type="dxa"/>
              <w:shd w:val="clear" w:color="auto" w:fill="auto"/>
              <w:vAlign w:val="bottom"/>
            </w:tcPr>
            <w:p w14:paraId="2AC79D66" w14:textId="106A1FE5" w:rsidR="00F870EB" w:rsidRPr="00845C36" w:rsidRDefault="003368A0">
              <w:pPr>
                <w:pStyle w:val="Footer"/>
                <w:spacing w:before="0" w:line="240" w:lineRule="auto"/>
                <w:jc w:val="left"/>
                <w:rPr>
                  <w:rStyle w:val="FooterChar"/>
                  <w:rFonts w:cs="Arial"/>
                  <w:sz w:val="16"/>
                  <w:szCs w:val="16"/>
                </w:rPr>
              </w:pPr>
              <w:r w:rsidRPr="00845C36">
                <w:rPr>
                  <w:rStyle w:val="FooterChar"/>
                  <w:rFonts w:cs="Arial"/>
                  <w:sz w:val="16"/>
                  <w:szCs w:val="16"/>
                </w:rPr>
                <w:t>Issued for Stakeholder Comment: 2023-02-02</w:t>
              </w:r>
            </w:p>
          </w:tc>
        </w:sdtContent>
      </w:sdt>
      <w:tc>
        <w:tcPr>
          <w:tcW w:w="1465" w:type="dxa"/>
          <w:shd w:val="clear" w:color="auto" w:fill="auto"/>
          <w:vAlign w:val="bottom"/>
        </w:tcPr>
        <w:p w14:paraId="2AC79D67" w14:textId="5900DC11" w:rsidR="00F870EB" w:rsidRPr="00845C36" w:rsidRDefault="007542C3">
          <w:pPr>
            <w:pStyle w:val="Footer"/>
            <w:spacing w:before="0" w:line="240" w:lineRule="auto"/>
            <w:jc w:val="center"/>
            <w:rPr>
              <w:rFonts w:ascii="Arial" w:hAnsi="Arial" w:cs="Arial"/>
              <w:noProof/>
              <w:sz w:val="16"/>
              <w:szCs w:val="16"/>
            </w:rPr>
          </w:pPr>
          <w:r w:rsidRPr="00845C36">
            <w:rPr>
              <w:rStyle w:val="FooterChar"/>
              <w:rFonts w:cs="Arial"/>
              <w:sz w:val="16"/>
              <w:szCs w:val="16"/>
            </w:rPr>
            <w:t xml:space="preserve">Page </w:t>
          </w:r>
          <w:r w:rsidRPr="00845C36">
            <w:rPr>
              <w:rStyle w:val="FooterChar"/>
              <w:rFonts w:cs="Arial"/>
              <w:sz w:val="16"/>
              <w:szCs w:val="16"/>
            </w:rPr>
            <w:fldChar w:fldCharType="begin"/>
          </w:r>
          <w:r w:rsidRPr="00845C36">
            <w:rPr>
              <w:rStyle w:val="FooterChar"/>
              <w:rFonts w:cs="Arial"/>
              <w:sz w:val="16"/>
              <w:szCs w:val="16"/>
            </w:rPr>
            <w:instrText xml:space="preserve"> PAGE   \* MERGEFORMAT </w:instrText>
          </w:r>
          <w:r w:rsidRPr="00845C36">
            <w:rPr>
              <w:rStyle w:val="FooterChar"/>
              <w:rFonts w:cs="Arial"/>
              <w:sz w:val="16"/>
              <w:szCs w:val="16"/>
            </w:rPr>
            <w:fldChar w:fldCharType="separate"/>
          </w:r>
          <w:r w:rsidRPr="00845C36">
            <w:rPr>
              <w:rStyle w:val="FooterChar"/>
              <w:rFonts w:cs="Arial"/>
              <w:noProof/>
              <w:sz w:val="16"/>
              <w:szCs w:val="16"/>
            </w:rPr>
            <w:t>3</w:t>
          </w:r>
          <w:r w:rsidRPr="00845C36">
            <w:rPr>
              <w:rStyle w:val="FooterChar"/>
              <w:rFonts w:cs="Arial"/>
              <w:sz w:val="16"/>
              <w:szCs w:val="16"/>
            </w:rPr>
            <w:fldChar w:fldCharType="end"/>
          </w:r>
          <w:r w:rsidR="00845C36">
            <w:rPr>
              <w:rStyle w:val="FooterChar"/>
              <w:rFonts w:cs="Arial"/>
              <w:sz w:val="16"/>
              <w:szCs w:val="16"/>
            </w:rPr>
            <w:t xml:space="preserve"> of </w:t>
          </w:r>
          <w:r w:rsidR="00845C36">
            <w:rPr>
              <w:rStyle w:val="FooterChar"/>
              <w:rFonts w:cs="Arial"/>
              <w:sz w:val="16"/>
              <w:szCs w:val="16"/>
            </w:rPr>
            <w:fldChar w:fldCharType="begin"/>
          </w:r>
          <w:r w:rsidR="00845C36">
            <w:rPr>
              <w:rStyle w:val="FooterChar"/>
              <w:rFonts w:cs="Arial"/>
              <w:sz w:val="16"/>
              <w:szCs w:val="16"/>
            </w:rPr>
            <w:instrText xml:space="preserve"> NUMPAGES   \* MERGEFORMAT </w:instrText>
          </w:r>
          <w:r w:rsidR="00845C36">
            <w:rPr>
              <w:rStyle w:val="FooterChar"/>
              <w:rFonts w:cs="Arial"/>
              <w:sz w:val="16"/>
              <w:szCs w:val="16"/>
            </w:rPr>
            <w:fldChar w:fldCharType="separate"/>
          </w:r>
          <w:r w:rsidR="00845C36">
            <w:rPr>
              <w:rStyle w:val="FooterChar"/>
              <w:rFonts w:cs="Arial"/>
              <w:noProof/>
              <w:sz w:val="16"/>
              <w:szCs w:val="16"/>
            </w:rPr>
            <w:t>2</w:t>
          </w:r>
          <w:r w:rsidR="00845C36">
            <w:rPr>
              <w:rStyle w:val="FooterChar"/>
              <w:rFonts w:cs="Arial"/>
              <w:sz w:val="16"/>
              <w:szCs w:val="16"/>
            </w:rPr>
            <w:fldChar w:fldCharType="end"/>
          </w:r>
        </w:p>
      </w:tc>
      <w:tc>
        <w:tcPr>
          <w:tcW w:w="6263" w:type="dxa"/>
          <w:shd w:val="clear" w:color="auto" w:fill="auto"/>
          <w:vAlign w:val="bottom"/>
        </w:tcPr>
        <w:p w14:paraId="2AC79D68" w14:textId="77777777" w:rsidR="00F870EB" w:rsidRDefault="00107B54">
          <w:pPr>
            <w:pStyle w:val="Footer"/>
            <w:spacing w:before="0" w:line="240" w:lineRule="auto"/>
            <w:jc w:val="right"/>
            <w:rPr>
              <w:rFonts w:ascii="Arial" w:hAnsi="Arial" w:cs="Arial"/>
              <w:sz w:val="16"/>
              <w:szCs w:val="16"/>
              <w:lang w:eastAsia="en-CA"/>
            </w:rPr>
          </w:pPr>
          <w:sdt>
            <w:sdtPr>
              <w:rPr>
                <w:rFonts w:ascii="Arial" w:hAnsi="Arial" w:cs="Arial"/>
                <w:sz w:val="16"/>
              </w:rPr>
              <w:alias w:val="AESO Confidentiality Classifications"/>
              <w:tag w:val="AESO_Confidentiality_Classifications"/>
              <w:id w:val="-2101101092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sz w:val="24"/>
              </w:rPr>
            </w:sdtEndPr>
            <w:sdtContent>
              <w:r w:rsidR="007542C3" w:rsidRPr="00845C36">
                <w:rPr>
                  <w:rFonts w:ascii="Arial" w:hAnsi="Arial" w:cs="Arial"/>
                  <w:sz w:val="16"/>
                </w:rPr>
                <w:t>Public</w:t>
              </w:r>
            </w:sdtContent>
          </w:sdt>
        </w:p>
      </w:tc>
    </w:tr>
  </w:tbl>
  <w:p w14:paraId="2AC79D6A" w14:textId="77777777" w:rsidR="00F870EB" w:rsidRDefault="00F870EB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470" w:type="dxa"/>
      <w:tblInd w:w="-6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6120"/>
      <w:gridCol w:w="2340"/>
      <w:gridCol w:w="6010"/>
    </w:tblGrid>
    <w:tr w:rsidR="00F870EB" w14:paraId="2AC79D70" w14:textId="77777777">
      <w:trPr>
        <w:trHeight w:val="187"/>
      </w:trPr>
      <w:sdt>
        <w:sdtPr>
          <w:rPr>
            <w:rStyle w:val="FooterChar"/>
            <w:rFonts w:cs="Arial"/>
            <w:sz w:val="16"/>
            <w:szCs w:val="16"/>
          </w:rPr>
          <w:alias w:val="Footer"/>
          <w:tag w:val="Footer"/>
          <w:id w:val="-63114356"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6120" w:type="dxa"/>
              <w:shd w:val="clear" w:color="auto" w:fill="auto"/>
            </w:tcPr>
            <w:p w14:paraId="2AC79D6D" w14:textId="64008C34" w:rsidR="00F870EB" w:rsidRDefault="00671628">
              <w:pPr>
                <w:pStyle w:val="Footer"/>
                <w:spacing w:before="240"/>
                <w:jc w:val="left"/>
                <w:rPr>
                  <w:rStyle w:val="FooterChar"/>
                  <w:rFonts w:cs="Arial"/>
                  <w:sz w:val="16"/>
                  <w:szCs w:val="16"/>
                </w:rPr>
              </w:pPr>
              <w:r>
                <w:rPr>
                  <w:rStyle w:val="FooterChar"/>
                  <w:rFonts w:cs="Arial"/>
                  <w:sz w:val="16"/>
                  <w:szCs w:val="16"/>
                </w:rPr>
                <w:t xml:space="preserve">Issued for Stakeholder Comment: </w:t>
              </w:r>
              <w:r w:rsidR="003368A0">
                <w:rPr>
                  <w:rStyle w:val="FooterChar"/>
                  <w:rFonts w:cs="Arial"/>
                  <w:sz w:val="16"/>
                  <w:szCs w:val="16"/>
                </w:rPr>
                <w:t>2023-02-02</w:t>
              </w:r>
            </w:p>
          </w:tc>
        </w:sdtContent>
      </w:sdt>
      <w:tc>
        <w:tcPr>
          <w:tcW w:w="2340" w:type="dxa"/>
          <w:shd w:val="clear" w:color="auto" w:fill="auto"/>
        </w:tcPr>
        <w:p w14:paraId="2AC79D6E" w14:textId="73BD8A83" w:rsidR="00F870EB" w:rsidRDefault="007542C3">
          <w:pPr>
            <w:pStyle w:val="Footer"/>
            <w:spacing w:before="240"/>
            <w:jc w:val="center"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Style w:val="FooterChar"/>
              <w:rFonts w:cs="Arial"/>
              <w:sz w:val="16"/>
              <w:szCs w:val="16"/>
            </w:rPr>
            <w:t xml:space="preserve">Page </w:t>
          </w:r>
          <w:r>
            <w:rPr>
              <w:rStyle w:val="FooterChar"/>
              <w:rFonts w:cs="Arial"/>
              <w:sz w:val="16"/>
              <w:szCs w:val="16"/>
            </w:rPr>
            <w:fldChar w:fldCharType="begin"/>
          </w:r>
          <w:r>
            <w:rPr>
              <w:rStyle w:val="FooterChar"/>
              <w:rFonts w:cs="Arial"/>
              <w:sz w:val="16"/>
              <w:szCs w:val="16"/>
            </w:rPr>
            <w:instrText xml:space="preserve"> PAGE   \* MERGEFORMAT </w:instrText>
          </w:r>
          <w:r>
            <w:rPr>
              <w:rStyle w:val="FooterChar"/>
              <w:rFonts w:cs="Arial"/>
              <w:sz w:val="16"/>
              <w:szCs w:val="16"/>
            </w:rPr>
            <w:fldChar w:fldCharType="separate"/>
          </w:r>
          <w:r>
            <w:rPr>
              <w:rStyle w:val="FooterChar"/>
              <w:rFonts w:cs="Arial"/>
              <w:noProof/>
              <w:sz w:val="16"/>
              <w:szCs w:val="16"/>
            </w:rPr>
            <w:t>1</w:t>
          </w:r>
          <w:r>
            <w:rPr>
              <w:rStyle w:val="FooterChar"/>
              <w:rFonts w:cs="Arial"/>
              <w:sz w:val="16"/>
              <w:szCs w:val="16"/>
            </w:rPr>
            <w:fldChar w:fldCharType="end"/>
          </w:r>
          <w:r w:rsidR="003368A0">
            <w:rPr>
              <w:rStyle w:val="FooterChar"/>
              <w:rFonts w:cs="Arial"/>
              <w:sz w:val="16"/>
              <w:szCs w:val="16"/>
            </w:rPr>
            <w:t xml:space="preserve"> of </w:t>
          </w:r>
          <w:r w:rsidR="003368A0">
            <w:rPr>
              <w:rStyle w:val="FooterChar"/>
              <w:rFonts w:cs="Arial"/>
              <w:sz w:val="16"/>
              <w:szCs w:val="16"/>
            </w:rPr>
            <w:fldChar w:fldCharType="begin"/>
          </w:r>
          <w:r w:rsidR="003368A0">
            <w:rPr>
              <w:rStyle w:val="FooterChar"/>
              <w:rFonts w:cs="Arial"/>
              <w:sz w:val="16"/>
              <w:szCs w:val="16"/>
            </w:rPr>
            <w:instrText xml:space="preserve"> NUMPAGES  \* Arabic  \* MERGEFORMAT </w:instrText>
          </w:r>
          <w:r w:rsidR="003368A0">
            <w:rPr>
              <w:rStyle w:val="FooterChar"/>
              <w:rFonts w:cs="Arial"/>
              <w:sz w:val="16"/>
              <w:szCs w:val="16"/>
            </w:rPr>
            <w:fldChar w:fldCharType="separate"/>
          </w:r>
          <w:r w:rsidR="003368A0">
            <w:rPr>
              <w:rStyle w:val="FooterChar"/>
              <w:rFonts w:cs="Arial"/>
              <w:noProof/>
              <w:sz w:val="16"/>
              <w:szCs w:val="16"/>
            </w:rPr>
            <w:t>2</w:t>
          </w:r>
          <w:r w:rsidR="003368A0">
            <w:rPr>
              <w:rStyle w:val="FooterChar"/>
              <w:rFonts w:cs="Arial"/>
              <w:sz w:val="16"/>
              <w:szCs w:val="16"/>
            </w:rPr>
            <w:fldChar w:fldCharType="end"/>
          </w:r>
        </w:p>
      </w:tc>
      <w:tc>
        <w:tcPr>
          <w:tcW w:w="6010" w:type="dxa"/>
          <w:shd w:val="clear" w:color="auto" w:fill="auto"/>
        </w:tcPr>
        <w:p w14:paraId="2AC79D6F" w14:textId="77777777" w:rsidR="00F870EB" w:rsidRDefault="00107B54">
          <w:pPr>
            <w:pStyle w:val="Footer"/>
            <w:spacing w:before="240"/>
            <w:jc w:val="right"/>
            <w:rPr>
              <w:rFonts w:ascii="Arial" w:hAnsi="Arial" w:cs="Arial"/>
              <w:sz w:val="12"/>
              <w:szCs w:val="12"/>
              <w:lang w:eastAsia="en-CA"/>
            </w:rPr>
          </w:pPr>
          <w:sdt>
            <w:sdtPr>
              <w:rPr>
                <w:rFonts w:ascii="Arial" w:hAnsi="Arial" w:cs="Arial"/>
                <w:sz w:val="16"/>
              </w:rPr>
              <w:alias w:val="AESO Confidentiality Classifications"/>
              <w:tag w:val="AESO_Confidentiality_Classifications"/>
              <w:id w:val="-1110740935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sz w:val="24"/>
              </w:rPr>
            </w:sdtEndPr>
            <w:sdtContent>
              <w:r w:rsidR="007542C3">
                <w:rPr>
                  <w:rFonts w:ascii="Arial" w:hAnsi="Arial" w:cs="Arial"/>
                  <w:sz w:val="16"/>
                </w:rPr>
                <w:t>Public</w:t>
              </w:r>
            </w:sdtContent>
          </w:sdt>
        </w:p>
      </w:tc>
    </w:tr>
  </w:tbl>
  <w:p w14:paraId="2AC79D71" w14:textId="5F3BED95" w:rsidR="00F870EB" w:rsidRDefault="00F870EB">
    <w:pPr>
      <w:tabs>
        <w:tab w:val="center" w:pos="4680"/>
        <w:tab w:val="right" w:pos="9360"/>
      </w:tabs>
      <w:ind w:left="-1260" w:right="-1800"/>
      <w:rPr>
        <w:color w:val="FFFFFF"/>
        <w:sz w:val="12"/>
        <w:szCs w:val="12"/>
        <w:lang w:eastAsia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C6CBD" w14:textId="77777777" w:rsidR="00F870EB" w:rsidRDefault="007542C3">
      <w:r>
        <w:separator/>
      </w:r>
    </w:p>
    <w:p w14:paraId="7A7481E6" w14:textId="77777777" w:rsidR="00F870EB" w:rsidRDefault="00F870EB"/>
  </w:footnote>
  <w:footnote w:type="continuationSeparator" w:id="0">
    <w:p w14:paraId="6B1F5262" w14:textId="77777777" w:rsidR="00F870EB" w:rsidRDefault="007542C3">
      <w:r>
        <w:continuationSeparator/>
      </w:r>
    </w:p>
    <w:p w14:paraId="2BA85AB6" w14:textId="77777777" w:rsidR="00F870EB" w:rsidRDefault="00F870EB"/>
  </w:footnote>
  <w:footnote w:type="continuationNotice" w:id="1">
    <w:p w14:paraId="21959CFE" w14:textId="77777777" w:rsidR="00F86868" w:rsidRDefault="00F868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E5CC0" w14:textId="77777777" w:rsidR="00845C36" w:rsidRPr="003368A0" w:rsidRDefault="00845C36" w:rsidP="00845C36">
    <w:pPr>
      <w:spacing w:before="120" w:after="120"/>
      <w:rPr>
        <w:rFonts w:ascii="Arial" w:hAnsi="Arial" w:cs="Arial"/>
        <w:b/>
        <w:color w:val="1F497D" w:themeColor="text2"/>
        <w:sz w:val="22"/>
        <w:szCs w:val="22"/>
      </w:rPr>
    </w:pPr>
    <w:r w:rsidRPr="003368A0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60289" behindDoc="1" locked="0" layoutInCell="1" allowOverlap="1" wp14:anchorId="2B306D99" wp14:editId="7BE948AA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10058400" cy="1255395"/>
          <wp:effectExtent l="0" t="0" r="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scription: E:\public\ScoMic\Kennedy Ink\~Clients\2011\Shirley Phillips\AESO\~New Templates\august\Landscape Banners\11-inch 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68A0">
      <w:rPr>
        <w:rFonts w:ascii="Arial" w:hAnsi="Arial" w:cs="Arial"/>
        <w:b/>
        <w:color w:val="1F497D" w:themeColor="text2"/>
        <w:sz w:val="22"/>
        <w:szCs w:val="22"/>
      </w:rPr>
      <w:t>Stakeholder Comment Matrix</w:t>
    </w:r>
  </w:p>
  <w:p w14:paraId="2AC79D65" w14:textId="3F95A9E7" w:rsidR="00F870EB" w:rsidRPr="00845C36" w:rsidRDefault="00845C36" w:rsidP="00845C36">
    <w:pPr>
      <w:spacing w:before="120" w:after="120"/>
      <w:rPr>
        <w:rFonts w:ascii="Arial" w:hAnsi="Arial" w:cs="Arial"/>
        <w:b/>
        <w:color w:val="1F497D" w:themeColor="text2"/>
        <w:sz w:val="22"/>
        <w:szCs w:val="22"/>
      </w:rPr>
    </w:pPr>
    <w:r w:rsidRPr="003368A0">
      <w:rPr>
        <w:rFonts w:ascii="Arial" w:hAnsi="Arial" w:cs="Arial"/>
        <w:b/>
        <w:color w:val="1F497D" w:themeColor="text2"/>
        <w:sz w:val="22"/>
        <w:szCs w:val="22"/>
      </w:rPr>
      <w:t>Additional Feedback on Offer Transparency in the Operating Reserve Market Review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79D6B" w14:textId="77777777" w:rsidR="00F870EB" w:rsidRPr="003368A0" w:rsidRDefault="007542C3" w:rsidP="003368A0">
    <w:pPr>
      <w:spacing w:before="120" w:after="120"/>
      <w:rPr>
        <w:rFonts w:ascii="Arial" w:hAnsi="Arial" w:cs="Arial"/>
        <w:b/>
        <w:color w:val="1F497D" w:themeColor="text2"/>
        <w:sz w:val="22"/>
        <w:szCs w:val="22"/>
      </w:rPr>
    </w:pPr>
    <w:r w:rsidRPr="003368A0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8241" behindDoc="1" locked="0" layoutInCell="1" allowOverlap="1" wp14:anchorId="2AC79D74" wp14:editId="2AC79D75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10058400" cy="1255395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scription: E:\public\ScoMic\Kennedy Ink\~Clients\2011\Shirley Phillips\AESO\~New Templates\august\Landscape Banners\11-inch 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68A0">
      <w:rPr>
        <w:rFonts w:ascii="Arial" w:hAnsi="Arial" w:cs="Arial"/>
        <w:b/>
        <w:color w:val="1F497D" w:themeColor="text2"/>
        <w:sz w:val="22"/>
        <w:szCs w:val="22"/>
      </w:rPr>
      <w:t>Stakeholder Comment Matrix</w:t>
    </w:r>
  </w:p>
  <w:p w14:paraId="2AC79D6C" w14:textId="09F7D496" w:rsidR="00F870EB" w:rsidRPr="003368A0" w:rsidRDefault="00A15A1B" w:rsidP="003368A0">
    <w:pPr>
      <w:spacing w:before="120" w:after="120"/>
      <w:rPr>
        <w:rFonts w:ascii="Arial" w:hAnsi="Arial" w:cs="Arial"/>
        <w:b/>
        <w:color w:val="1F497D" w:themeColor="text2"/>
        <w:sz w:val="22"/>
        <w:szCs w:val="22"/>
      </w:rPr>
    </w:pPr>
    <w:r w:rsidRPr="003368A0">
      <w:rPr>
        <w:rFonts w:ascii="Arial" w:hAnsi="Arial" w:cs="Arial"/>
        <w:b/>
        <w:color w:val="1F497D" w:themeColor="text2"/>
        <w:sz w:val="22"/>
        <w:szCs w:val="22"/>
      </w:rPr>
      <w:t xml:space="preserve">Additional Feedback on </w:t>
    </w:r>
    <w:r w:rsidR="00C34CC0" w:rsidRPr="003368A0">
      <w:rPr>
        <w:rFonts w:ascii="Arial" w:hAnsi="Arial" w:cs="Arial"/>
        <w:b/>
        <w:color w:val="1F497D" w:themeColor="text2"/>
        <w:sz w:val="22"/>
        <w:szCs w:val="22"/>
      </w:rPr>
      <w:t xml:space="preserve">Offer Transparency in </w:t>
    </w:r>
    <w:r w:rsidRPr="003368A0">
      <w:rPr>
        <w:rFonts w:ascii="Arial" w:hAnsi="Arial" w:cs="Arial"/>
        <w:b/>
        <w:color w:val="1F497D" w:themeColor="text2"/>
        <w:sz w:val="22"/>
        <w:szCs w:val="22"/>
      </w:rPr>
      <w:t>the Operating Reserve Market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3" w15:restartNumberingAfterBreak="0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DD4772C"/>
    <w:multiLevelType w:val="hybridMultilevel"/>
    <w:tmpl w:val="43240910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1" w15:restartNumberingAfterBreak="0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1708F"/>
    <w:multiLevelType w:val="hybridMultilevel"/>
    <w:tmpl w:val="CF800072"/>
    <w:lvl w:ilvl="0" w:tplc="10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3" w15:restartNumberingAfterBreak="0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87582865">
    <w:abstractNumId w:val="14"/>
  </w:num>
  <w:num w:numId="2" w16cid:durableId="1857692841">
    <w:abstractNumId w:val="15"/>
  </w:num>
  <w:num w:numId="3" w16cid:durableId="1263760071">
    <w:abstractNumId w:val="15"/>
  </w:num>
  <w:num w:numId="4" w16cid:durableId="141846964">
    <w:abstractNumId w:val="12"/>
  </w:num>
  <w:num w:numId="5" w16cid:durableId="540093829">
    <w:abstractNumId w:val="21"/>
  </w:num>
  <w:num w:numId="6" w16cid:durableId="385957035">
    <w:abstractNumId w:val="17"/>
  </w:num>
  <w:num w:numId="7" w16cid:durableId="2010861130">
    <w:abstractNumId w:val="19"/>
  </w:num>
  <w:num w:numId="8" w16cid:durableId="179897078">
    <w:abstractNumId w:val="23"/>
  </w:num>
  <w:num w:numId="9" w16cid:durableId="1009521080">
    <w:abstractNumId w:val="11"/>
  </w:num>
  <w:num w:numId="10" w16cid:durableId="726344170">
    <w:abstractNumId w:val="13"/>
  </w:num>
  <w:num w:numId="11" w16cid:durableId="535461648">
    <w:abstractNumId w:val="21"/>
  </w:num>
  <w:num w:numId="12" w16cid:durableId="204373920">
    <w:abstractNumId w:val="10"/>
  </w:num>
  <w:num w:numId="13" w16cid:durableId="2072268522">
    <w:abstractNumId w:val="21"/>
  </w:num>
  <w:num w:numId="14" w16cid:durableId="1630552809">
    <w:abstractNumId w:val="21"/>
  </w:num>
  <w:num w:numId="15" w16cid:durableId="60493692">
    <w:abstractNumId w:val="21"/>
  </w:num>
  <w:num w:numId="16" w16cid:durableId="1173298583">
    <w:abstractNumId w:val="21"/>
  </w:num>
  <w:num w:numId="17" w16cid:durableId="356581685">
    <w:abstractNumId w:val="21"/>
  </w:num>
  <w:num w:numId="18" w16cid:durableId="294407815">
    <w:abstractNumId w:val="21"/>
  </w:num>
  <w:num w:numId="19" w16cid:durableId="2127498927">
    <w:abstractNumId w:val="21"/>
  </w:num>
  <w:num w:numId="20" w16cid:durableId="1819109991">
    <w:abstractNumId w:val="9"/>
  </w:num>
  <w:num w:numId="21" w16cid:durableId="1214927817">
    <w:abstractNumId w:val="7"/>
  </w:num>
  <w:num w:numId="22" w16cid:durableId="1842354722">
    <w:abstractNumId w:val="6"/>
  </w:num>
  <w:num w:numId="23" w16cid:durableId="1232498448">
    <w:abstractNumId w:val="5"/>
  </w:num>
  <w:num w:numId="24" w16cid:durableId="185826484">
    <w:abstractNumId w:val="4"/>
  </w:num>
  <w:num w:numId="25" w16cid:durableId="809514986">
    <w:abstractNumId w:val="8"/>
  </w:num>
  <w:num w:numId="26" w16cid:durableId="1949195268">
    <w:abstractNumId w:val="3"/>
  </w:num>
  <w:num w:numId="27" w16cid:durableId="839931389">
    <w:abstractNumId w:val="2"/>
  </w:num>
  <w:num w:numId="28" w16cid:durableId="1422991225">
    <w:abstractNumId w:val="1"/>
  </w:num>
  <w:num w:numId="29" w16cid:durableId="1288699916">
    <w:abstractNumId w:val="0"/>
  </w:num>
  <w:num w:numId="30" w16cid:durableId="1467238053">
    <w:abstractNumId w:val="20"/>
  </w:num>
  <w:num w:numId="31" w16cid:durableId="259144742">
    <w:abstractNumId w:val="18"/>
  </w:num>
  <w:num w:numId="32" w16cid:durableId="824585505">
    <w:abstractNumId w:val="16"/>
  </w:num>
  <w:num w:numId="33" w16cid:durableId="16827080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EB"/>
    <w:rsid w:val="0003685E"/>
    <w:rsid w:val="000F4972"/>
    <w:rsid w:val="000F7508"/>
    <w:rsid w:val="00107B54"/>
    <w:rsid w:val="00122E15"/>
    <w:rsid w:val="002005BC"/>
    <w:rsid w:val="00271EFE"/>
    <w:rsid w:val="003368A0"/>
    <w:rsid w:val="004E3434"/>
    <w:rsid w:val="004F614D"/>
    <w:rsid w:val="00625855"/>
    <w:rsid w:val="00671628"/>
    <w:rsid w:val="006B7660"/>
    <w:rsid w:val="007542C3"/>
    <w:rsid w:val="007A7812"/>
    <w:rsid w:val="007E1900"/>
    <w:rsid w:val="008331BB"/>
    <w:rsid w:val="00845C36"/>
    <w:rsid w:val="008E35E4"/>
    <w:rsid w:val="009C1900"/>
    <w:rsid w:val="009E1936"/>
    <w:rsid w:val="009F396F"/>
    <w:rsid w:val="00A15A1B"/>
    <w:rsid w:val="00AA1A3C"/>
    <w:rsid w:val="00AE6491"/>
    <w:rsid w:val="00B8589A"/>
    <w:rsid w:val="00B97A8A"/>
    <w:rsid w:val="00BE0426"/>
    <w:rsid w:val="00C04EB3"/>
    <w:rsid w:val="00C34CC0"/>
    <w:rsid w:val="00CF24F6"/>
    <w:rsid w:val="00D1608A"/>
    <w:rsid w:val="00D631D9"/>
    <w:rsid w:val="00D835CF"/>
    <w:rsid w:val="00D868E9"/>
    <w:rsid w:val="00F1627B"/>
    <w:rsid w:val="00F86868"/>
    <w:rsid w:val="00F870EB"/>
    <w:rsid w:val="00FD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AC79D20"/>
  <w15:docId w15:val="{52674318-B542-4536-BBF9-BD86DB0D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pPr>
      <w:ind w:left="720"/>
    </w:pPr>
  </w:style>
  <w:style w:type="paragraph" w:customStyle="1" w:styleId="2ndBody">
    <w:name w:val="2nd Body"/>
    <w:basedOn w:val="Normal"/>
    <w:semiHidden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pPr>
      <w:numPr>
        <w:numId w:val="5"/>
      </w:numPr>
      <w:spacing w:after="60"/>
    </w:pPr>
  </w:style>
  <w:style w:type="character" w:styleId="Hyperlink">
    <w:name w:val="Hyperlink"/>
    <w:semiHidden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Pr>
      <w:sz w:val="12"/>
      <w:szCs w:val="20"/>
    </w:rPr>
  </w:style>
  <w:style w:type="character" w:customStyle="1" w:styleId="FootnoteTextChar">
    <w:name w:val="Footnote Text Char"/>
    <w:link w:val="FootnoteText"/>
    <w:semiHidden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Caption">
    <w:name w:val="caption"/>
    <w:basedOn w:val="Normal"/>
    <w:next w:val="Normal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</w:style>
  <w:style w:type="paragraph" w:styleId="TOC3">
    <w:name w:val="toc 3"/>
    <w:basedOn w:val="Normal"/>
    <w:next w:val="Normal"/>
    <w:autoRedefine/>
    <w:semiHidden/>
    <w:pPr>
      <w:ind w:left="360"/>
    </w:pPr>
    <w:rPr>
      <w:sz w:val="18"/>
      <w:szCs w:val="20"/>
    </w:rPr>
  </w:style>
  <w:style w:type="character" w:styleId="PageNumber">
    <w:name w:val="page number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pPr>
      <w:ind w:left="1600"/>
    </w:pPr>
    <w:rPr>
      <w:szCs w:val="20"/>
    </w:rPr>
  </w:style>
  <w:style w:type="table" w:styleId="TableGrid">
    <w:name w:val="Table Grid"/>
    <w:basedOn w:val="TableNormal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pPr>
      <w:spacing w:after="120"/>
    </w:pPr>
  </w:style>
  <w:style w:type="paragraph" w:customStyle="1" w:styleId="Style3">
    <w:name w:val="Style3"/>
    <w:basedOn w:val="Style2"/>
    <w:semiHidden/>
    <w:pPr>
      <w:spacing w:before="120"/>
    </w:pPr>
  </w:style>
  <w:style w:type="paragraph" w:customStyle="1" w:styleId="Style4">
    <w:name w:val="Style4"/>
    <w:basedOn w:val="Style3"/>
    <w:semiHidden/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</w:style>
  <w:style w:type="paragraph" w:styleId="BlockText">
    <w:name w:val="Block Text"/>
    <w:basedOn w:val="Normal"/>
    <w:uiPriority w:val="99"/>
    <w:semiHidden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pPr>
      <w:ind w:left="1415"/>
      <w:contextualSpacing/>
    </w:pPr>
  </w:style>
  <w:style w:type="paragraph" w:styleId="ListNumber">
    <w:name w:val="List Number"/>
    <w:basedOn w:val="Normal"/>
    <w:uiPriority w:val="99"/>
    <w:semiHidden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</w:style>
  <w:style w:type="paragraph" w:styleId="NormalIndent">
    <w:name w:val="Normal Indent"/>
    <w:basedOn w:val="Normal"/>
    <w:uiPriority w:val="99"/>
    <w:semiHidden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tblPr/>
  </w:style>
  <w:style w:type="paragraph" w:customStyle="1" w:styleId="Writer">
    <w:name w:val="Writer"/>
    <w:basedOn w:val="Normal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Arial" w:eastAsia="Times New Roman" w:hAnsi="Arial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631D9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eso.ca\dfs\applications\AESO%20Monthly%20Template%20Updates\Templates\Landscape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F0E8FBDC6DD87E4D98B4C26689EB5DAB010200F01F0EA9659AD04C9B65F47E7086DB1E" ma:contentTypeVersion="102" ma:contentTypeDescription="" ma:contentTypeScope="" ma:versionID="7f3d255011723ac62fafe4808294568a">
  <xsd:schema xmlns:xsd="http://www.w3.org/2001/XMLSchema" xmlns:xs="http://www.w3.org/2001/XMLSchema" xmlns:p="http://schemas.microsoft.com/office/2006/metadata/properties" xmlns:ns2="f6fe1e25-11e1-4e26-9b89-bdb29b4c4011" xmlns:ns3="b13d72f2-98d3-45a3-839b-034fb11fd699" targetNamespace="http://schemas.microsoft.com/office/2006/metadata/properties" ma:root="true" ma:fieldsID="890c5ebd6f113756a94acada98cb55fa" ns2:_="" ns3:_="">
    <xsd:import namespace="f6fe1e25-11e1-4e26-9b89-bdb29b4c4011"/>
    <xsd:import namespace="b13d72f2-98d3-45a3-839b-034fb11fd699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2:TaxCatchAll" minOccurs="0"/>
                <xsd:element ref="ns2:CWRMItemRecordStatus" minOccurs="0"/>
                <xsd:element ref="ns2:CWRMItemRecordDeclaredDate" minOccurs="0"/>
                <xsd:element ref="ns2:CWRMItemRecordVital" minOccurs="0"/>
                <xsd:element ref="ns2:CWRMItemRecordData" minOccurs="0"/>
                <xsd:element ref="ns2:CWRMItemUniqueId" minOccurs="0"/>
                <xsd:element ref="ns2:CWRMItemRecordState" minOccurs="0"/>
                <xsd:element ref="ns2:CWRMItemRecordCategory" minOccurs="0"/>
                <xsd:element ref="ns3:Notes0" minOccurs="0"/>
                <xsd:element ref="ns2:SharedWithUsers" minOccurs="0"/>
                <xsd:element ref="ns2:SharedWithDetails" minOccurs="0"/>
                <xsd:element ref="ns2:e94be97ffb024deb9c3d6d978a059d35" minOccurs="0"/>
                <xsd:element ref="ns2:TaxCatchAllLabel" minOccurs="0"/>
                <xsd:element ref="ns2:fdc7710463144dc19a8992998d0907da" minOccurs="0"/>
                <xsd:element ref="ns2:e4f22e6f29fb4eb6af23a655472aab9f" minOccurs="0"/>
                <xsd:element ref="ns2:nc9abd60d2924b6a80e31aa92886dd82" minOccurs="0"/>
                <xsd:element ref="ns2:n920abf613194d45b14af8191f159b16" minOccurs="0"/>
                <xsd:element ref="ns2:o74c417c636446b2936ee46a3b1dd71d" minOccurs="0"/>
                <xsd:element ref="ns2:k64467115e4948f8a6ae90544ba894f6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e1e25-11e1-4e26-9b89-bdb29b4c4011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 ma:readOnly="false">
      <xsd:simpleType>
        <xsd:restriction base="dms:DateTime"/>
      </xsd:simpleType>
    </xsd:element>
    <xsd:element name="LARA_x0020_Status" ma:index="6" nillable="true" ma:displayName="LARA Status" ma:default="Active" ma:format="Dropdown" ma:internalName="LARA_x0020_Status" ma:readOnly="false">
      <xsd:simpleType>
        <xsd:restriction base="dms:Choice">
          <xsd:enumeration value="Active"/>
          <xsd:enumeration value="Inactive"/>
        </xsd:restriction>
      </xsd:simpleType>
    </xsd:element>
    <xsd:element name="TaxCatchAll" ma:index="10" nillable="true" ma:displayName="Taxonomy Catch All Column" ma:hidden="true" ma:list="{0d6a8663-176b-4e4a-bd5f-b49ea1c63f03}" ma:internalName="TaxCatchAll" ma:readOnly="false" ma:showField="CatchAllData" ma:web="f6fe1e25-11e1-4e26-9b89-bdb29b4c4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WRMItemRecordStatus" ma:index="12" nillable="true" ma:displayName="Record Status" ma:description="The current status of this item as it pertains to records management." ma:internalName="CWRMItemRecordStatus" ma:readOnly="true">
      <xsd:simpleType>
        <xsd:restriction base="dms:Text"/>
      </xsd:simpleType>
    </xsd:element>
    <xsd:element name="CWRMItemRecordDeclaredDate" ma:index="13" nillable="true" ma:displayName="Record Declared Date" ma:description="The date and time that the item was declared a record." ma:format="DateTime" ma:internalName="CWRMItemRecordDeclaredDate" ma:readOnly="true">
      <xsd:simpleType>
        <xsd:restriction base="dms:DateTime"/>
      </xsd:simpleType>
    </xsd:element>
    <xsd:element name="CWRMItemRecordVital" ma:index="14" nillable="true" ma:displayName="Record Vital" ma:description="Indicates if this item is considered vital to the organization." ma:internalName="CWRMItemRecordVital" ma:readOnly="true">
      <xsd:simpleType>
        <xsd:restriction base="dms:Boolean"/>
      </xsd:simpleType>
    </xsd:element>
    <xsd:element name="CWRMItemRecordData" ma:index="15" nillable="true" ma:displayName="Record Data" ma:description="Contains system specific record data for the item." ma:hidden="true" ma:internalName="CWRMItemRecordData" ma:readOnly="false">
      <xsd:simpleType>
        <xsd:restriction base="dms:Note"/>
      </xsd:simpleType>
    </xsd:element>
    <xsd:element name="CWRMItemUniqueId" ma:index="20" nillable="true" ma:displayName="Content ID" ma:description="A universally unique identifier assigned to the item." ma:internalName="CWRMItemUniqueId" ma:readOnly="true">
      <xsd:simpleType>
        <xsd:restriction base="dms:Text"/>
      </xsd:simpleType>
    </xsd:element>
    <xsd:element name="CWRMItemRecordState" ma:index="21" nillable="true" ma:displayName="Record State" ma:description="The current state of this item as it pertains to records management." ma:internalName="CWRMItemRecordState" ma:readOnly="true">
      <xsd:simpleType>
        <xsd:restriction base="dms:Text"/>
      </xsd:simpleType>
    </xsd:element>
    <xsd:element name="CWRMItemRecordCategory" ma:index="22" nillable="true" ma:displayName="Record Category" ma:description="Identifies the current record category for the item." ma:internalName="CWRMItemRecordCategory" ma:readOnly="true">
      <xsd:simpleType>
        <xsd:restriction base="dms:Text"/>
      </xsd:simpleType>
    </xsd:element>
    <xsd:element name="SharedWithUsers" ma:index="2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e94be97ffb024deb9c3d6d978a059d35" ma:index="28" nillable="true" ma:taxonomy="true" ma:internalName="CWRMItemRecordClassificationTaxHTField0" ma:taxonomyFieldName="CWRMItemRecordClassification" ma:displayName="Record Classification" ma:readOnly="false" ma:fieldId="{e94be97f-fb02-4deb-9c3d-6d978a059d35}" ma:sspId="3faea631-0b04-4e0a-a5a6-8cc3f73a1699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9" nillable="true" ma:displayName="Taxonomy Catch All Column1" ma:hidden="true" ma:list="{0d6a8663-176b-4e4a-bd5f-b49ea1c63f03}" ma:internalName="TaxCatchAllLabel" ma:readOnly="false" ma:showField="CatchAllDataLabel" ma:web="f6fe1e25-11e1-4e26-9b89-bdb29b4c4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30" nillable="true" ma:taxonomy="true" ma:internalName="fdc7710463144dc19a8992998d0907da" ma:taxonomyFieldName="Confidentiality_x0020_Classification" ma:displayName="Confidentiality Classification" ma:readOnly="false" ma:default="-1;#AESO Internal|fe2129cc-e616-4c1e-9a39-b6921e014562" ma:fieldId="{fdc77104-6314-4dc1-9a89-92998d0907da}" ma:sspId="3faea631-0b04-4e0a-a5a6-8cc3f73a1699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22e6f29fb4eb6af23a655472aab9f" ma:index="31" nillable="true" ma:taxonomy="true" ma:internalName="e4f22e6f29fb4eb6af23a655472aab9f" ma:taxonomyFieldName="Related_x0020_IDs" ma:displayName="Related IDs" ma:readOnly="false" ma:fieldId="{e4f22e6f-29fb-4eb6-af23-a655472aab9f}" ma:taxonomyMulti="true" ma:sspId="3faea631-0b04-4e0a-a5a6-8cc3f73a1699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32" nillable="true" ma:taxonomy="true" ma:internalName="nc9abd60d2924b6a80e31aa92886dd82" ma:taxonomyFieldName="Business_x0020_Unit_x0028_s_x0029_" ma:displayName="Business Unit(s)" ma:readOnly="false" ma:fieldId="{7c9abd60-d292-4b6a-80e3-1aa92886dd82}" ma:taxonomyMulti="true" ma:sspId="3faea631-0b04-4e0a-a5a6-8cc3f73a1699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3" nillable="true" ma:taxonomy="true" ma:internalName="n920abf613194d45b14af8191f159b16" ma:taxonomyFieldName="Division" ma:displayName="Division" ma:readOnly="false" ma:fieldId="{7920abf6-1319-4d45-b14a-f8191f159b16}" ma:sspId="3faea631-0b04-4e0a-a5a6-8cc3f73a1699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4" nillable="true" ma:taxonomy="true" ma:internalName="o74c417c636446b2936ee46a3b1dd71d" ma:taxonomyFieldName="LARA_x0020_Category0" ma:displayName="LARA Category" ma:readOnly="false" ma:fieldId="{874c417c-6364-46b2-936e-e46a3b1dd71d}" ma:sspId="3faea631-0b04-4e0a-a5a6-8cc3f73a1699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4467115e4948f8a6ae90544ba894f6" ma:index="35" nillable="true" ma:taxonomy="true" ma:internalName="k64467115e4948f8a6ae90544ba894f6" ma:taxonomyFieldName="Related_x0020_ADs" ma:displayName="Related ADs" ma:readOnly="false" ma:fieldId="{46446711-5e49-48f8-a6ae-90544ba894f6}" ma:taxonomyMulti="true" ma:sspId="3faea631-0b04-4e0a-a5a6-8cc3f73a1699" ma:termSetId="a53a396f-088e-46cc-82dd-f28275a65df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3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d72f2-98d3-45a3-839b-034fb11fd699" elementFormDefault="qualified">
    <xsd:import namespace="http://schemas.microsoft.com/office/2006/documentManagement/types"/>
    <xsd:import namespace="http://schemas.microsoft.com/office/infopath/2007/PartnerControls"/>
    <xsd:element name="Notes0" ma:index="25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MediaServiceMetadata" ma:index="3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3faea631-0b04-4e0a-a5a6-8cc3f73a1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C_Map_Root xmlns="http://Greg_Maxey/CC_Mapping_Part">
  <AESO_Confidentiality_Classifications>Public</AESO_Confidentiality_Classifications>
  <Footer>Issued for Stakeholder Comment: 2023-02-02</Footer>
</CC_Map_Root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fe1e25-11e1-4e26-9b89-bdb29b4c4011">
      <Value>1125</Value>
      <Value>19</Value>
      <Value>45</Value>
      <Value>1126</Value>
      <Value>52</Value>
      <Value>1124</Value>
      <Value>124</Value>
      <Value>48</Value>
      <Value>121</Value>
      <Value>119</Value>
      <Value>118</Value>
      <Value>2</Value>
      <Value>74</Value>
    </TaxCatchAll>
    <Activity_x0020_Complete_x0020_Date xmlns="f6fe1e25-11e1-4e26-9b89-bdb29b4c4011" xsi:nil="true"/>
    <fdc7710463144dc19a8992998d0907da xmlns="f6fe1e25-11e1-4e26-9b89-bdb29b4c40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CWRMItemRecordData xmlns="f6fe1e25-11e1-4e26-9b89-bdb29b4c4011" xsi:nil="true"/>
    <CWRMItemRecordVital xmlns="f6fe1e25-11e1-4e26-9b89-bdb29b4c4011">false</CWRMItemRecordVital>
    <CWRMItemRecordCategory xmlns="f6fe1e25-11e1-4e26-9b89-bdb29b4c4011" xsi:nil="true"/>
    <CWRMItemRecordDeclaredDate xmlns="f6fe1e25-11e1-4e26-9b89-bdb29b4c4011" xsi:nil="true"/>
    <CWRMItemRecordState xmlns="f6fe1e25-11e1-4e26-9b89-bdb29b4c4011" xsi:nil="true"/>
    <CWRMItemRecordStatus xmlns="f6fe1e25-11e1-4e26-9b89-bdb29b4c4011" xsi:nil="true"/>
    <CWRMItemUniqueId xmlns="f6fe1e25-11e1-4e26-9b89-bdb29b4c4011">000000FCVY</CWRMItemUniqueId>
    <TaxCatchAllLabel xmlns="f6fe1e25-11e1-4e26-9b89-bdb29b4c4011" xsi:nil="true"/>
    <e94be97ffb024deb9c3d6d978a059d35 xmlns="f6fe1e25-11e1-4e26-9b89-bdb29b4c40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_dlc_DocId xmlns="f6fe1e25-11e1-4e26-9b89-bdb29b4c4011">WPVA353K5JT4-474133763-6750</_dlc_DocId>
    <_dlc_DocIdUrl xmlns="f6fe1e25-11e1-4e26-9b89-bdb29b4c4011">
      <Url>https://aeso.sharepoint.com/sites/CS-DEPT-LAW-LARA/_layouts/15/DocIdRedir.aspx?ID=WPVA353K5JT4-474133763-6750</Url>
      <Description>WPVA353K5JT4-474133763-6750</Description>
    </_dlc_DocIdUrl>
    <_dlc_DocIdPersistId xmlns="f6fe1e25-11e1-4e26-9b89-bdb29b4c4011" xsi:nil="true"/>
    <n920abf613194d45b14af8191f159b16 xmlns="f6fe1e25-11e1-4e26-9b89-bdb29b4c4011">
      <Terms xmlns="http://schemas.microsoft.com/office/infopath/2007/PartnerControls"/>
    </n920abf613194d45b14af8191f159b16>
    <LARA_x0020_Status xmlns="f6fe1e25-11e1-4e26-9b89-bdb29b4c4011">Active</LARA_x0020_Status>
    <lcf76f155ced4ddcb4097134ff3c332f xmlns="b13d72f2-98d3-45a3-839b-034fb11fd699">
      <Terms xmlns="http://schemas.microsoft.com/office/infopath/2007/PartnerControls"/>
    </lcf76f155ced4ddcb4097134ff3c332f>
    <e4f22e6f29fb4eb6af23a655472aab9f xmlns="f6fe1e25-11e1-4e26-9b89-bdb29b4c40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ID #2013 005R, Operating Reserve</TermName>
          <TermId xmlns="http://schemas.microsoft.com/office/infopath/2007/PartnerControls">2e10ee4d-666c-4399-a98c-e5322bbdbd3d</TermId>
        </TermInfo>
        <TermInfo xmlns="http://schemas.microsoft.com/office/infopath/2007/PartnerControls">
          <TermName xmlns="http://schemas.microsoft.com/office/infopath/2007/PartnerControls">ID #2013-007R, Contingency Reserve</TermName>
          <TermId xmlns="http://schemas.microsoft.com/office/infopath/2007/PartnerControls">00f38baa-6b22-4297-ac6a-cc1a970aec5d</TermId>
        </TermInfo>
        <TermInfo xmlns="http://schemas.microsoft.com/office/infopath/2007/PartnerControls">
          <TermName xmlns="http://schemas.microsoft.com/office/infopath/2007/PartnerControls">ID #2013-006R, Regulating Reserve</TermName>
          <TermId xmlns="http://schemas.microsoft.com/office/infopath/2007/PartnerControls">12cd5b7a-3e43-4703-99cd-470b27ce3faa</TermId>
        </TermInfo>
      </Terms>
    </e4f22e6f29fb4eb6af23a655472aab9f>
    <nc9abd60d2924b6a80e31aa92886dd82 xmlns="f6fe1e25-11e1-4e26-9b89-bdb29b4c40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Markets</TermName>
          <TermId xmlns="http://schemas.microsoft.com/office/infopath/2007/PartnerControls">15f241a2-070b-4f95-b89e-6f4a51567de7</TermId>
        </TermInfo>
      </Terms>
    </nc9abd60d2924b6a80e31aa92886dd82>
    <o74c417c636446b2936ee46a3b1dd71d xmlns="f6fe1e25-11e1-4e26-9b89-bdb29b4c40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Notes0 xmlns="b13d72f2-98d3-45a3-839b-034fb11fd699" xsi:nil="true"/>
    <k64467115e4948f8a6ae90544ba894f6 xmlns="f6fe1e25-11e1-4e26-9b89-bdb29b4c40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Section 203.6 Available Transfer Capability and Transfer Path Management</TermName>
          <TermId xmlns="http://schemas.microsoft.com/office/infopath/2007/PartnerControls">9cfa143e-491c-41d6-8778-b02a9fe00661</TermId>
        </TermInfo>
        <TermInfo xmlns="http://schemas.microsoft.com/office/infopath/2007/PartnerControls">
          <TermName xmlns="http://schemas.microsoft.com/office/infopath/2007/PartnerControls">Section 205.1 Offers for Operating Reserve</TermName>
          <TermId xmlns="http://schemas.microsoft.com/office/infopath/2007/PartnerControls">eee4d544-1741-4740-9519-66e02965d461</TermId>
        </TermInfo>
        <TermInfo xmlns="http://schemas.microsoft.com/office/infopath/2007/PartnerControls">
          <TermName xmlns="http://schemas.microsoft.com/office/infopath/2007/PartnerControls">Section 205.3 Restatements for Operating Reserve</TermName>
          <TermId xmlns="http://schemas.microsoft.com/office/infopath/2007/PartnerControls">6753baad-1011-4dac-bdd5-2a7dcddc38cf</TermId>
        </TermInfo>
        <TermInfo xmlns="http://schemas.microsoft.com/office/infopath/2007/PartnerControls">
          <TermName xmlns="http://schemas.microsoft.com/office/infopath/2007/PartnerControls">Section 205.5 Spinning Reserve Technical Requirements and Performance Standards</TermName>
          <TermId xmlns="http://schemas.microsoft.com/office/infopath/2007/PartnerControls">7aac42a7-b30b-4ef2-8b5b-22bf90fec711</TermId>
        </TermInfo>
        <TermInfo xmlns="http://schemas.microsoft.com/office/infopath/2007/PartnerControls">
          <TermName xmlns="http://schemas.microsoft.com/office/infopath/2007/PartnerControls">Section 205.6 Supplemental Reserve Technical Requirements and Performance Standards</TermName>
          <TermId xmlns="http://schemas.microsoft.com/office/infopath/2007/PartnerControls">1f5a3155-7fca-46b9-a216-3e64cb9994da</TermId>
        </TermInfo>
        <TermInfo xmlns="http://schemas.microsoft.com/office/infopath/2007/PartnerControls">
          <TermName xmlns="http://schemas.microsoft.com/office/infopath/2007/PartnerControls">Section 302.1 Real Time Transmission Constraint Management</TermName>
          <TermId xmlns="http://schemas.microsoft.com/office/infopath/2007/PartnerControls">f73277c8-64a9-45fc-a1aa-a726f550bb6e</TermId>
        </TermInfo>
      </Terms>
    </k64467115e4948f8a6ae90544ba894f6>
  </documentManagement>
</p:properties>
</file>

<file path=customXml/itemProps1.xml><?xml version="1.0" encoding="utf-8"?>
<ds:datastoreItem xmlns:ds="http://schemas.openxmlformats.org/officeDocument/2006/customXml" ds:itemID="{B447D33C-0113-42B5-BEC2-75ED09971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EB7B00-8B09-4CDC-9E24-2D5E357F4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e1e25-11e1-4e26-9b89-bdb29b4c4011"/>
    <ds:schemaRef ds:uri="b13d72f2-98d3-45a3-839b-034fb11fd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0D493F-7BDF-4716-B21A-1C97993CF725}">
  <ds:schemaRefs>
    <ds:schemaRef ds:uri="http://Greg_Maxey/CC_Mapping_Part"/>
  </ds:schemaRefs>
</ds:datastoreItem>
</file>

<file path=customXml/itemProps4.xml><?xml version="1.0" encoding="utf-8"?>
<ds:datastoreItem xmlns:ds="http://schemas.openxmlformats.org/officeDocument/2006/customXml" ds:itemID="{416213D4-33E8-45D8-A9DA-933763D3AA1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4ADBDC4-FADC-40AC-808C-876F8FC3CAA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8DD2261-5681-45AC-9AD5-B3A40BA4618E}">
  <ds:schemaRefs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b13d72f2-98d3-45a3-839b-034fb11fd699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6fe1e25-11e1-4e26-9b89-bdb29b4c4011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51a5a3c7-ba38-4976-a2eb-9e02a5c891be}" enabled="1" method="Privileged" siteId="{9869aa0d-ebba-4f8c-9399-7dff7665b1d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Landscape Letter.dotx</Template>
  <TotalTime>101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Mitchell-Moisson</dc:creator>
  <cp:lastModifiedBy>Valerie Anasco</cp:lastModifiedBy>
  <cp:revision>24</cp:revision>
  <cp:lastPrinted>2019-04-01T17:45:00Z</cp:lastPrinted>
  <dcterms:created xsi:type="dcterms:W3CDTF">2023-01-27T16:20:00Z</dcterms:created>
  <dcterms:modified xsi:type="dcterms:W3CDTF">2023-02-07T21:25:00Z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0x010100F0E8FBDC6DD87E4D98B4C26689EB5DAB010200F01F0EA9659AD04C9B65F47E7086DB1E</vt:lpwstr>
  </property>
  <property fmtid="{D5CDD505-2E9C-101B-9397-08002B2CF9AE}" pid="3" name="Confidentiality Classification">
    <vt:lpwstr>2</vt:lpwstr>
  </property>
  <property fmtid="{D5CDD505-2E9C-101B-9397-08002B2CF9AE}" pid="4" name="CWRMItemRecordClassification">
    <vt:lpwstr>45</vt:lpwstr>
  </property>
  <property fmtid="{D5CDD505-2E9C-101B-9397-08002B2CF9AE}" pid="5" name="_dlc_DocIdItemGuid">
    <vt:lpwstr>c8014898-5400-4bdc-83fa-14d65855dd85</vt:lpwstr>
  </property>
  <property fmtid="{D5CDD505-2E9C-101B-9397-08002B2CF9AE}" pid="6" name="_docset_NoMedatataSyncRequired">
    <vt:lpwstr>False</vt:lpwstr>
  </property>
  <property fmtid="{D5CDD505-2E9C-101B-9397-08002B2CF9AE}" pid="7" name="DocumentSetDescription">
    <vt:lpwstr/>
  </property>
  <property fmtid="{D5CDD505-2E9C-101B-9397-08002B2CF9AE}" pid="8" name="_ExtendedDescription">
    <vt:lpwstr/>
  </property>
  <property fmtid="{D5CDD505-2E9C-101B-9397-08002B2CF9AE}" pid="9" name="Related ADs">
    <vt:lpwstr>52;#Section 203.6 Available Transfer Capability and Transfer Path Management|9cfa143e-491c-41d6-8778-b02a9fe00661;#119;#Section 205.1 Offers for Operating Reserve|eee4d544-1741-4740-9519-66e02965d461;#124;#Section 205.3 Restatements for Operating Reserve|6753baad-1011-4dac-bdd5-2a7dcddc38cf;#118;#Section 205.5 Spinning Reserve Technical Requirements and Performance Standards|7aac42a7-b30b-4ef2-8b5b-22bf90fec711;#121;#Section 205.6 Supplemental Reserve Technical Requirements and Performance Standards|1f5a3155-7fca-46b9-a216-3e64cb9994da;#74;#Section 302.1 Real Time Transmission Constraint Management|f73277c8-64a9-45fc-a1aa-a726f550bb6e</vt:lpwstr>
  </property>
  <property fmtid="{D5CDD505-2E9C-101B-9397-08002B2CF9AE}" pid="10" name="Related IDs">
    <vt:lpwstr>1124;#ID #2013 005R, Operating Reserve|2e10ee4d-666c-4399-a98c-e5322bbdbd3d;#1125;#ID #2013-007R, Contingency Reserve|00f38baa-6b22-4297-ac6a-cc1a970aec5d;#1126;#ID #2013-006R, Regulating Reserve|12cd5b7a-3e43-4703-99cd-470b27ce3faa</vt:lpwstr>
  </property>
  <property fmtid="{D5CDD505-2E9C-101B-9397-08002B2CF9AE}" pid="11" name="Business Unit(s)">
    <vt:lpwstr>48;#Markets|15f241a2-070b-4f95-b89e-6f4a51567de7</vt:lpwstr>
  </property>
  <property fmtid="{D5CDD505-2E9C-101B-9397-08002B2CF9AE}" pid="12" name="LARA Category0">
    <vt:lpwstr>19</vt:lpwstr>
  </property>
  <property fmtid="{D5CDD505-2E9C-101B-9397-08002B2CF9AE}" pid="13" name="MediaServiceImageTags">
    <vt:lpwstr/>
  </property>
  <property fmtid="{D5CDD505-2E9C-101B-9397-08002B2CF9AE}" pid="14" name="Related_x0020_Definition">
    <vt:lpwstr/>
  </property>
  <property fmtid="{D5CDD505-2E9C-101B-9397-08002B2CF9AE}" pid="15" name="i25e9ceaa7c2448f9c5e0f14e0ef915a">
    <vt:lpwstr/>
  </property>
  <property fmtid="{D5CDD505-2E9C-101B-9397-08002B2CF9AE}" pid="16" name="Related Definition">
    <vt:lpwstr/>
  </property>
</Properties>
</file>