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5023"/>
      </w:tblGrid>
      <w:tr w:rsidR="0029211D" w14:paraId="4BCBC537" w14:textId="77777777" w:rsidTr="00703A19">
        <w:trPr>
          <w:trHeight w:val="1520"/>
        </w:trPr>
        <w:tc>
          <w:tcPr>
            <w:tcW w:w="2965" w:type="pct"/>
          </w:tcPr>
          <w:tbl>
            <w:tblPr>
              <w:tblpPr w:leftFromText="180" w:rightFromText="180" w:vertAnchor="page" w:horzAnchor="margin" w:tblpY="101"/>
              <w:tblOverlap w:val="never"/>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9"/>
              <w:gridCol w:w="2495"/>
              <w:gridCol w:w="877"/>
              <w:gridCol w:w="3000"/>
            </w:tblGrid>
            <w:tr w:rsidR="0029211D" w14:paraId="4BCBC525" w14:textId="77777777">
              <w:tc>
                <w:tcPr>
                  <w:tcW w:w="2070" w:type="dxa"/>
                  <w:tcBorders>
                    <w:top w:val="nil"/>
                    <w:left w:val="nil"/>
                    <w:bottom w:val="nil"/>
                    <w:right w:val="nil"/>
                  </w:tcBorders>
                </w:tcPr>
                <w:p w14:paraId="4BCBC521" w14:textId="77777777" w:rsidR="0029211D" w:rsidRDefault="004A7F33" w:rsidP="00242A62">
                  <w:pPr>
                    <w:keepNext/>
                    <w:tabs>
                      <w:tab w:val="left" w:pos="7094"/>
                    </w:tabs>
                    <w:spacing w:before="120"/>
                    <w:ind w:left="-18" w:right="-367"/>
                    <w:rPr>
                      <w:rFonts w:ascii="Arial" w:hAnsi="Arial" w:cs="Arial"/>
                      <w:b/>
                      <w:sz w:val="20"/>
                      <w:szCs w:val="20"/>
                    </w:rPr>
                  </w:pPr>
                  <w:r>
                    <w:rPr>
                      <w:rFonts w:ascii="Arial" w:hAnsi="Arial" w:cs="Arial"/>
                      <w:b/>
                      <w:sz w:val="20"/>
                      <w:szCs w:val="20"/>
                    </w:rPr>
                    <w:t>Period of Comment:</w:t>
                  </w:r>
                </w:p>
              </w:tc>
              <w:tc>
                <w:tcPr>
                  <w:tcW w:w="2520" w:type="dxa"/>
                  <w:tcBorders>
                    <w:top w:val="nil"/>
                    <w:left w:val="nil"/>
                    <w:bottom w:val="nil"/>
                    <w:right w:val="nil"/>
                  </w:tcBorders>
                </w:tcPr>
                <w:p w14:paraId="4BCBC522" w14:textId="24DCCE2D" w:rsidR="0029211D" w:rsidRPr="00712E95" w:rsidRDefault="00C44B18" w:rsidP="00242A62">
                  <w:pPr>
                    <w:keepNext/>
                    <w:tabs>
                      <w:tab w:val="left" w:pos="7094"/>
                    </w:tabs>
                    <w:spacing w:before="120"/>
                    <w:ind w:left="-18" w:right="-367"/>
                    <w:rPr>
                      <w:rFonts w:ascii="Arial" w:hAnsi="Arial" w:cs="Arial"/>
                      <w:sz w:val="20"/>
                      <w:szCs w:val="20"/>
                    </w:rPr>
                  </w:pPr>
                  <w:r w:rsidRPr="00712E95">
                    <w:rPr>
                      <w:rFonts w:ascii="Arial" w:hAnsi="Arial" w:cs="Arial"/>
                      <w:sz w:val="20"/>
                      <w:szCs w:val="20"/>
                    </w:rPr>
                    <w:t>April 12, 2022</w:t>
                  </w:r>
                </w:p>
              </w:tc>
              <w:tc>
                <w:tcPr>
                  <w:tcW w:w="810" w:type="dxa"/>
                  <w:tcBorders>
                    <w:top w:val="nil"/>
                    <w:left w:val="nil"/>
                    <w:bottom w:val="nil"/>
                    <w:right w:val="nil"/>
                  </w:tcBorders>
                </w:tcPr>
                <w:p w14:paraId="4BCBC523" w14:textId="77777777" w:rsidR="0029211D" w:rsidRPr="00712E95" w:rsidRDefault="004A7F33" w:rsidP="00242A62">
                  <w:pPr>
                    <w:keepNext/>
                    <w:tabs>
                      <w:tab w:val="left" w:pos="7094"/>
                    </w:tabs>
                    <w:spacing w:before="120"/>
                    <w:ind w:left="-18" w:right="-349"/>
                    <w:rPr>
                      <w:rFonts w:ascii="Arial" w:hAnsi="Arial" w:cs="Arial"/>
                      <w:sz w:val="20"/>
                      <w:szCs w:val="20"/>
                    </w:rPr>
                  </w:pPr>
                  <w:r w:rsidRPr="00712E95">
                    <w:rPr>
                      <w:rFonts w:ascii="Arial" w:hAnsi="Arial" w:cs="Arial"/>
                      <w:sz w:val="20"/>
                      <w:szCs w:val="20"/>
                    </w:rPr>
                    <w:t>through</w:t>
                  </w:r>
                </w:p>
              </w:tc>
              <w:tc>
                <w:tcPr>
                  <w:tcW w:w="3031" w:type="dxa"/>
                  <w:tcBorders>
                    <w:top w:val="nil"/>
                    <w:left w:val="nil"/>
                    <w:bottom w:val="nil"/>
                    <w:right w:val="nil"/>
                  </w:tcBorders>
                </w:tcPr>
                <w:p w14:paraId="4BCBC524" w14:textId="04135D04" w:rsidR="0029211D" w:rsidRPr="00712E95" w:rsidRDefault="00C44B18" w:rsidP="00242A62">
                  <w:pPr>
                    <w:keepNext/>
                    <w:tabs>
                      <w:tab w:val="left" w:pos="7094"/>
                    </w:tabs>
                    <w:spacing w:before="120"/>
                    <w:ind w:left="-18" w:right="-36"/>
                    <w:rPr>
                      <w:rFonts w:ascii="Arial" w:hAnsi="Arial" w:cs="Arial"/>
                      <w:sz w:val="20"/>
                      <w:szCs w:val="20"/>
                    </w:rPr>
                  </w:pPr>
                  <w:r w:rsidRPr="00712E95">
                    <w:rPr>
                      <w:rFonts w:ascii="Arial" w:hAnsi="Arial" w:cs="Arial"/>
                      <w:sz w:val="20"/>
                      <w:szCs w:val="20"/>
                    </w:rPr>
                    <w:t xml:space="preserve">May </w:t>
                  </w:r>
                  <w:r w:rsidR="00A17730">
                    <w:rPr>
                      <w:rFonts w:ascii="Arial" w:hAnsi="Arial" w:cs="Arial"/>
                      <w:sz w:val="20"/>
                      <w:szCs w:val="20"/>
                    </w:rPr>
                    <w:t>13</w:t>
                  </w:r>
                  <w:r w:rsidR="0037202B" w:rsidRPr="00712E95">
                    <w:rPr>
                      <w:rFonts w:ascii="Arial" w:hAnsi="Arial" w:cs="Arial"/>
                      <w:sz w:val="20"/>
                      <w:szCs w:val="20"/>
                    </w:rPr>
                    <w:t>, 2022</w:t>
                  </w:r>
                </w:p>
              </w:tc>
            </w:tr>
            <w:tr w:rsidR="0029211D" w14:paraId="4BCBC528" w14:textId="77777777">
              <w:tc>
                <w:tcPr>
                  <w:tcW w:w="2070" w:type="dxa"/>
                  <w:tcBorders>
                    <w:top w:val="nil"/>
                    <w:left w:val="nil"/>
                    <w:bottom w:val="nil"/>
                    <w:right w:val="nil"/>
                  </w:tcBorders>
                </w:tcPr>
                <w:p w14:paraId="4BCBC526" w14:textId="77777777" w:rsidR="0029211D" w:rsidRDefault="004A7F33" w:rsidP="00242A62">
                  <w:pPr>
                    <w:keepNext/>
                    <w:spacing w:before="120"/>
                    <w:rPr>
                      <w:rFonts w:ascii="Arial" w:hAnsi="Arial" w:cs="Arial"/>
                      <w:b/>
                      <w:sz w:val="20"/>
                      <w:szCs w:val="20"/>
                    </w:rPr>
                  </w:pPr>
                  <w:r>
                    <w:rPr>
                      <w:rFonts w:ascii="Arial" w:hAnsi="Arial" w:cs="Arial"/>
                      <w:b/>
                      <w:sz w:val="20"/>
                      <w:szCs w:val="20"/>
                    </w:rPr>
                    <w:t>Comments From:</w:t>
                  </w:r>
                </w:p>
              </w:tc>
              <w:bookmarkStart w:id="0" w:name="Text6"/>
              <w:tc>
                <w:tcPr>
                  <w:tcW w:w="6361" w:type="dxa"/>
                  <w:gridSpan w:val="3"/>
                  <w:tcBorders>
                    <w:top w:val="nil"/>
                    <w:left w:val="nil"/>
                    <w:bottom w:val="nil"/>
                    <w:right w:val="nil"/>
                  </w:tcBorders>
                </w:tcPr>
                <w:p w14:paraId="4BCBC527" w14:textId="77777777" w:rsidR="0029211D" w:rsidRDefault="004A7F33" w:rsidP="00242A62">
                  <w:pPr>
                    <w:keepNext/>
                    <w:tabs>
                      <w:tab w:val="left" w:pos="7094"/>
                    </w:tabs>
                    <w:spacing w:before="120"/>
                    <w:ind w:left="-18" w:right="-367"/>
                    <w:rPr>
                      <w:rFonts w:ascii="Arial" w:hAnsi="Arial" w:cs="Arial"/>
                      <w:sz w:val="20"/>
                      <w:szCs w:val="20"/>
                    </w:rPr>
                  </w:pPr>
                  <w:r>
                    <w:rPr>
                      <w:rFonts w:ascii="Arial" w:hAnsi="Arial" w:cs="Arial"/>
                      <w:sz w:val="20"/>
                      <w:szCs w:val="20"/>
                    </w:rPr>
                    <w:fldChar w:fldCharType="begin">
                      <w:ffData>
                        <w:name w:val="Text6"/>
                        <w:enabled/>
                        <w:calcOnExit w:val="0"/>
                        <w:textInput>
                          <w:default w:val="Company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Company Name</w:t>
                  </w:r>
                  <w:r>
                    <w:rPr>
                      <w:rFonts w:ascii="Arial" w:hAnsi="Arial" w:cs="Arial"/>
                      <w:sz w:val="20"/>
                      <w:szCs w:val="20"/>
                    </w:rPr>
                    <w:fldChar w:fldCharType="end"/>
                  </w:r>
                  <w:bookmarkEnd w:id="0"/>
                </w:p>
              </w:tc>
            </w:tr>
            <w:tr w:rsidR="0029211D" w14:paraId="4BCBC52B" w14:textId="77777777">
              <w:tc>
                <w:tcPr>
                  <w:tcW w:w="2070" w:type="dxa"/>
                  <w:tcBorders>
                    <w:top w:val="nil"/>
                    <w:left w:val="nil"/>
                    <w:bottom w:val="nil"/>
                    <w:right w:val="nil"/>
                  </w:tcBorders>
                </w:tcPr>
                <w:p w14:paraId="4BCBC529" w14:textId="77777777" w:rsidR="0029211D" w:rsidRDefault="004A7F33" w:rsidP="00242A62">
                  <w:pPr>
                    <w:keepNext/>
                    <w:spacing w:before="120"/>
                    <w:rPr>
                      <w:rFonts w:ascii="Arial" w:hAnsi="Arial" w:cs="Arial"/>
                      <w:b/>
                      <w:sz w:val="20"/>
                      <w:szCs w:val="20"/>
                    </w:rPr>
                  </w:pPr>
                  <w:r>
                    <w:rPr>
                      <w:rFonts w:ascii="Arial" w:hAnsi="Arial" w:cs="Arial"/>
                      <w:b/>
                      <w:sz w:val="20"/>
                      <w:szCs w:val="20"/>
                    </w:rPr>
                    <w:t>Date:</w:t>
                  </w:r>
                </w:p>
              </w:tc>
              <w:tc>
                <w:tcPr>
                  <w:tcW w:w="6361" w:type="dxa"/>
                  <w:gridSpan w:val="3"/>
                  <w:tcBorders>
                    <w:top w:val="nil"/>
                    <w:left w:val="nil"/>
                    <w:bottom w:val="nil"/>
                    <w:right w:val="nil"/>
                  </w:tcBorders>
                </w:tcPr>
                <w:p w14:paraId="4BCBC52A" w14:textId="77777777" w:rsidR="0029211D" w:rsidRDefault="004A7F33" w:rsidP="00242A62">
                  <w:pPr>
                    <w:keepNext/>
                    <w:tabs>
                      <w:tab w:val="left" w:pos="7094"/>
                    </w:tabs>
                    <w:spacing w:before="120"/>
                    <w:ind w:left="-18" w:right="-367"/>
                    <w:rPr>
                      <w:rFonts w:ascii="Arial" w:hAnsi="Arial" w:cs="Arial"/>
                      <w:sz w:val="20"/>
                      <w:szCs w:val="20"/>
                    </w:rPr>
                  </w:pPr>
                  <w:r>
                    <w:rPr>
                      <w:rFonts w:ascii="Arial" w:hAnsi="Arial" w:cs="Arial"/>
                      <w:noProof/>
                      <w:sz w:val="20"/>
                      <w:szCs w:val="20"/>
                      <w:highlight w:val="lightGray"/>
                    </w:rPr>
                    <w:t>[yyyy/mm/dd]</w:t>
                  </w:r>
                </w:p>
              </w:tc>
            </w:tr>
          </w:tbl>
          <w:p w14:paraId="4BCBC52C" w14:textId="77777777" w:rsidR="0029211D" w:rsidRDefault="0029211D" w:rsidP="00242A62">
            <w:pPr>
              <w:keepNext/>
              <w:tabs>
                <w:tab w:val="left" w:pos="7094"/>
              </w:tabs>
              <w:spacing w:before="120" w:after="60"/>
              <w:rPr>
                <w:rFonts w:ascii="Arial" w:hAnsi="Arial" w:cs="Arial"/>
                <w:sz w:val="20"/>
                <w:szCs w:val="20"/>
              </w:rPr>
            </w:pPr>
          </w:p>
        </w:tc>
        <w:tc>
          <w:tcPr>
            <w:tcW w:w="2035" w:type="pct"/>
          </w:tcPr>
          <w:tbl>
            <w:tblPr>
              <w:tblpPr w:leftFromText="180" w:rightFromText="180" w:vertAnchor="page"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3755"/>
            </w:tblGrid>
            <w:tr w:rsidR="0029211D" w14:paraId="4BCBC52F" w14:textId="77777777">
              <w:tc>
                <w:tcPr>
                  <w:tcW w:w="1076" w:type="dxa"/>
                  <w:tcBorders>
                    <w:top w:val="nil"/>
                    <w:left w:val="nil"/>
                    <w:bottom w:val="nil"/>
                    <w:right w:val="nil"/>
                  </w:tcBorders>
                </w:tcPr>
                <w:p w14:paraId="4BCBC52D" w14:textId="77777777" w:rsidR="0029211D" w:rsidRDefault="004A7F33" w:rsidP="00242A62">
                  <w:pPr>
                    <w:keepNext/>
                    <w:spacing w:before="120"/>
                    <w:rPr>
                      <w:rFonts w:ascii="Arial" w:hAnsi="Arial" w:cs="Arial"/>
                      <w:b/>
                      <w:sz w:val="20"/>
                      <w:szCs w:val="20"/>
                    </w:rPr>
                  </w:pPr>
                  <w:r>
                    <w:rPr>
                      <w:rFonts w:ascii="Arial" w:hAnsi="Arial" w:cs="Arial"/>
                      <w:b/>
                      <w:sz w:val="20"/>
                      <w:szCs w:val="20"/>
                    </w:rPr>
                    <w:t>Contact:</w:t>
                  </w:r>
                </w:p>
              </w:tc>
              <w:tc>
                <w:tcPr>
                  <w:tcW w:w="6034" w:type="dxa"/>
                  <w:tcBorders>
                    <w:top w:val="nil"/>
                    <w:left w:val="nil"/>
                    <w:bottom w:val="nil"/>
                    <w:right w:val="nil"/>
                  </w:tcBorders>
                </w:tcPr>
                <w:p w14:paraId="4BCBC52E" w14:textId="77777777" w:rsidR="0029211D" w:rsidRDefault="004A7F33" w:rsidP="00242A62">
                  <w:pPr>
                    <w:keepNext/>
                    <w:spacing w:before="120"/>
                    <w:rPr>
                      <w:rFonts w:ascii="Arial" w:hAnsi="Arial" w:cs="Arial"/>
                      <w:sz w:val="20"/>
                      <w:szCs w:val="20"/>
                    </w:rPr>
                  </w:pPr>
                  <w:r>
                    <w:rPr>
                      <w:rFonts w:ascii="Arial" w:hAnsi="Arial" w:cs="Arial"/>
                      <w:sz w:val="20"/>
                      <w:szCs w:val="20"/>
                    </w:rPr>
                    <w:fldChar w:fldCharType="begin">
                      <w:ffData>
                        <w:name w:val="Text7"/>
                        <w:enabled/>
                        <w:calcOnExit w:val="0"/>
                        <w:textInput>
                          <w:default w:val="Company Representative "/>
                        </w:textInput>
                      </w:ffData>
                    </w:fldChar>
                  </w:r>
                  <w:bookmarkStart w:id="1" w:name="Text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xml:space="preserve">Company Representative </w:t>
                  </w:r>
                  <w:r>
                    <w:rPr>
                      <w:rFonts w:ascii="Arial" w:hAnsi="Arial" w:cs="Arial"/>
                      <w:sz w:val="20"/>
                      <w:szCs w:val="20"/>
                    </w:rPr>
                    <w:fldChar w:fldCharType="end"/>
                  </w:r>
                  <w:bookmarkEnd w:id="1"/>
                </w:p>
              </w:tc>
            </w:tr>
            <w:tr w:rsidR="0029211D" w14:paraId="4BCBC532" w14:textId="77777777">
              <w:tc>
                <w:tcPr>
                  <w:tcW w:w="1076" w:type="dxa"/>
                  <w:tcBorders>
                    <w:top w:val="nil"/>
                    <w:left w:val="nil"/>
                    <w:bottom w:val="nil"/>
                    <w:right w:val="nil"/>
                  </w:tcBorders>
                </w:tcPr>
                <w:p w14:paraId="4BCBC530" w14:textId="77777777" w:rsidR="0029211D" w:rsidRDefault="004A7F33" w:rsidP="00242A62">
                  <w:pPr>
                    <w:keepNext/>
                    <w:spacing w:before="120"/>
                    <w:rPr>
                      <w:rFonts w:ascii="Arial" w:hAnsi="Arial" w:cs="Arial"/>
                      <w:b/>
                      <w:sz w:val="20"/>
                      <w:szCs w:val="20"/>
                    </w:rPr>
                  </w:pPr>
                  <w:r>
                    <w:rPr>
                      <w:rFonts w:ascii="Arial" w:hAnsi="Arial" w:cs="Arial"/>
                      <w:b/>
                      <w:sz w:val="20"/>
                      <w:szCs w:val="20"/>
                    </w:rPr>
                    <w:t>Phone:</w:t>
                  </w:r>
                </w:p>
              </w:tc>
              <w:bookmarkStart w:id="2" w:name="Text8"/>
              <w:tc>
                <w:tcPr>
                  <w:tcW w:w="6034" w:type="dxa"/>
                  <w:tcBorders>
                    <w:top w:val="nil"/>
                    <w:left w:val="nil"/>
                    <w:bottom w:val="nil"/>
                    <w:right w:val="nil"/>
                  </w:tcBorders>
                </w:tcPr>
                <w:p w14:paraId="4BCBC531" w14:textId="77777777" w:rsidR="0029211D" w:rsidRDefault="004A7F33" w:rsidP="00242A62">
                  <w:pPr>
                    <w:keepNext/>
                    <w:spacing w:before="120"/>
                    <w:rPr>
                      <w:rFonts w:ascii="Arial" w:hAnsi="Arial" w:cs="Arial"/>
                      <w:sz w:val="20"/>
                      <w:szCs w:val="20"/>
                    </w:rPr>
                  </w:pPr>
                  <w:r>
                    <w:rPr>
                      <w:rFonts w:ascii="Arial" w:hAnsi="Arial" w:cs="Arial"/>
                      <w:sz w:val="20"/>
                      <w:szCs w:val="20"/>
                    </w:rPr>
                    <w:fldChar w:fldCharType="begin">
                      <w:ffData>
                        <w:name w:val="Text8"/>
                        <w:enabled/>
                        <w:calcOnExit w:val="0"/>
                        <w:textInput>
                          <w:default w:val="Contact Phone 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Contact Phone Number</w:t>
                  </w:r>
                  <w:r>
                    <w:rPr>
                      <w:rFonts w:ascii="Arial" w:hAnsi="Arial" w:cs="Arial"/>
                      <w:sz w:val="20"/>
                      <w:szCs w:val="20"/>
                    </w:rPr>
                    <w:fldChar w:fldCharType="end"/>
                  </w:r>
                  <w:bookmarkEnd w:id="2"/>
                </w:p>
              </w:tc>
            </w:tr>
            <w:tr w:rsidR="0029211D" w14:paraId="4BCBC535" w14:textId="77777777">
              <w:tc>
                <w:tcPr>
                  <w:tcW w:w="1076" w:type="dxa"/>
                  <w:tcBorders>
                    <w:top w:val="nil"/>
                    <w:left w:val="nil"/>
                    <w:bottom w:val="nil"/>
                    <w:right w:val="nil"/>
                  </w:tcBorders>
                </w:tcPr>
                <w:p w14:paraId="4BCBC533" w14:textId="77777777" w:rsidR="0029211D" w:rsidRDefault="004A7F33" w:rsidP="00242A62">
                  <w:pPr>
                    <w:keepNext/>
                    <w:spacing w:before="120"/>
                    <w:rPr>
                      <w:rFonts w:ascii="Arial" w:hAnsi="Arial" w:cs="Arial"/>
                      <w:sz w:val="20"/>
                      <w:szCs w:val="20"/>
                    </w:rPr>
                  </w:pPr>
                  <w:r>
                    <w:rPr>
                      <w:rFonts w:ascii="Arial" w:hAnsi="Arial" w:cs="Arial"/>
                      <w:b/>
                      <w:sz w:val="20"/>
                      <w:szCs w:val="20"/>
                    </w:rPr>
                    <w:t>Email</w:t>
                  </w:r>
                  <w:r>
                    <w:rPr>
                      <w:rFonts w:ascii="Arial" w:hAnsi="Arial" w:cs="Arial"/>
                      <w:sz w:val="20"/>
                      <w:szCs w:val="20"/>
                    </w:rPr>
                    <w:t>:</w:t>
                  </w:r>
                </w:p>
              </w:tc>
              <w:tc>
                <w:tcPr>
                  <w:tcW w:w="6034" w:type="dxa"/>
                  <w:tcBorders>
                    <w:top w:val="nil"/>
                    <w:left w:val="nil"/>
                    <w:bottom w:val="nil"/>
                    <w:right w:val="nil"/>
                  </w:tcBorders>
                </w:tcPr>
                <w:p w14:paraId="4BCBC534" w14:textId="77777777" w:rsidR="0029211D" w:rsidRDefault="0029211D" w:rsidP="00242A62">
                  <w:pPr>
                    <w:keepNext/>
                    <w:spacing w:before="120"/>
                    <w:rPr>
                      <w:rFonts w:ascii="Arial" w:hAnsi="Arial" w:cs="Arial"/>
                      <w:sz w:val="20"/>
                      <w:szCs w:val="20"/>
                    </w:rPr>
                  </w:pPr>
                </w:p>
              </w:tc>
            </w:tr>
          </w:tbl>
          <w:p w14:paraId="4BCBC536" w14:textId="77777777" w:rsidR="0029211D" w:rsidRDefault="004A7F33" w:rsidP="00242A62">
            <w:pPr>
              <w:keepNext/>
              <w:ind w:left="-540"/>
              <w:rPr>
                <w:rFonts w:ascii="Arial" w:hAnsi="Arial" w:cs="Arial"/>
                <w:sz w:val="20"/>
                <w:szCs w:val="20"/>
              </w:rPr>
            </w:pPr>
            <w:r>
              <w:rPr>
                <w:rFonts w:ascii="Arial" w:hAnsi="Arial" w:cs="Arial"/>
                <w:sz w:val="20"/>
                <w:szCs w:val="20"/>
              </w:rPr>
              <w:tab/>
            </w:r>
          </w:p>
        </w:tc>
      </w:tr>
    </w:tbl>
    <w:p w14:paraId="48432CEE" w14:textId="3A49B383" w:rsidR="00302F88" w:rsidRDefault="004A7F33" w:rsidP="00C43AA5">
      <w:pPr>
        <w:widowControl w:val="0"/>
        <w:spacing w:before="120" w:after="120"/>
        <w:rPr>
          <w:rFonts w:ascii="Arial" w:hAnsi="Arial" w:cs="Arial"/>
          <w:sz w:val="20"/>
          <w:szCs w:val="20"/>
        </w:rPr>
      </w:pPr>
      <w:r>
        <w:rPr>
          <w:rFonts w:ascii="Arial" w:hAnsi="Arial" w:cs="Arial"/>
          <w:sz w:val="20"/>
          <w:szCs w:val="20"/>
        </w:rPr>
        <w:t>Instructions:</w:t>
      </w:r>
    </w:p>
    <w:p w14:paraId="4BCBC539" w14:textId="4160C349" w:rsidR="0029211D" w:rsidRDefault="004A7F33" w:rsidP="00C43AA5">
      <w:pPr>
        <w:pStyle w:val="ListParagraph"/>
        <w:widowControl w:val="0"/>
        <w:numPr>
          <w:ilvl w:val="0"/>
          <w:numId w:val="18"/>
        </w:numPr>
        <w:rPr>
          <w:rFonts w:ascii="Arial" w:hAnsi="Arial" w:cs="Arial"/>
          <w:sz w:val="20"/>
          <w:szCs w:val="20"/>
        </w:rPr>
      </w:pPr>
      <w:r>
        <w:rPr>
          <w:rFonts w:ascii="Arial" w:hAnsi="Arial" w:cs="Arial"/>
          <w:sz w:val="20"/>
          <w:szCs w:val="20"/>
        </w:rPr>
        <w:t>Please fill out the section above as indicated.</w:t>
      </w:r>
    </w:p>
    <w:p w14:paraId="4BBAB2C8" w14:textId="04263E4C" w:rsidR="00402087" w:rsidRPr="00242A62" w:rsidRDefault="00402087" w:rsidP="00C43AA5">
      <w:pPr>
        <w:pStyle w:val="ListParagraph"/>
        <w:widowControl w:val="0"/>
        <w:numPr>
          <w:ilvl w:val="0"/>
          <w:numId w:val="18"/>
        </w:numPr>
        <w:rPr>
          <w:rFonts w:ascii="Arial" w:hAnsi="Arial" w:cs="Arial"/>
          <w:sz w:val="20"/>
          <w:szCs w:val="20"/>
        </w:rPr>
      </w:pPr>
      <w:r w:rsidRPr="00242A62">
        <w:rPr>
          <w:rFonts w:ascii="Arial" w:hAnsi="Arial" w:cs="Arial"/>
          <w:sz w:val="20"/>
          <w:szCs w:val="20"/>
        </w:rPr>
        <w:t>Add your feedback to the following comment matrix</w:t>
      </w:r>
      <w:r w:rsidR="00302F88">
        <w:rPr>
          <w:rFonts w:ascii="Arial" w:hAnsi="Arial" w:cs="Arial"/>
          <w:sz w:val="20"/>
          <w:szCs w:val="20"/>
        </w:rPr>
        <w:t>.</w:t>
      </w:r>
    </w:p>
    <w:p w14:paraId="5A9645E8" w14:textId="38309179" w:rsidR="00302F88" w:rsidRPr="00C43AA5" w:rsidRDefault="004A7F33" w:rsidP="00C43AA5">
      <w:pPr>
        <w:pStyle w:val="ListParagraph"/>
        <w:widowControl w:val="0"/>
        <w:numPr>
          <w:ilvl w:val="0"/>
          <w:numId w:val="18"/>
        </w:numPr>
        <w:rPr>
          <w:rFonts w:ascii="Arial" w:hAnsi="Arial" w:cs="Arial"/>
          <w:sz w:val="20"/>
          <w:szCs w:val="20"/>
        </w:rPr>
      </w:pPr>
      <w:r>
        <w:rPr>
          <w:rFonts w:ascii="Arial" w:hAnsi="Arial" w:cs="Arial"/>
          <w:sz w:val="20"/>
          <w:szCs w:val="20"/>
        </w:rPr>
        <w:t xml:space="preserve">Email your completed comment matrix to </w:t>
      </w:r>
      <w:hyperlink r:id="rId14" w:history="1">
        <w:r>
          <w:rPr>
            <w:rStyle w:val="Hyperlink"/>
            <w:rFonts w:ascii="Arial" w:hAnsi="Arial" w:cs="Arial"/>
            <w:sz w:val="20"/>
            <w:szCs w:val="20"/>
          </w:rPr>
          <w:t>rules_comments@aeso.ca</w:t>
        </w:r>
      </w:hyperlink>
      <w:r>
        <w:rPr>
          <w:rStyle w:val="Hyperlink"/>
          <w:rFonts w:ascii="Arial" w:hAnsi="Arial" w:cs="Arial"/>
          <w:sz w:val="20"/>
          <w:szCs w:val="20"/>
        </w:rPr>
        <w:t>.</w:t>
      </w:r>
    </w:p>
    <w:p w14:paraId="5ACD460D" w14:textId="546DBE7A" w:rsidR="00C43AA5" w:rsidRDefault="00302F88" w:rsidP="00C43AA5">
      <w:pPr>
        <w:pStyle w:val="ListParagraph"/>
        <w:widowControl w:val="0"/>
        <w:spacing w:before="120" w:after="120"/>
        <w:ind w:left="0"/>
        <w:rPr>
          <w:rFonts w:ascii="Arial" w:hAnsi="Arial" w:cs="Arial"/>
          <w:sz w:val="20"/>
          <w:szCs w:val="20"/>
        </w:rPr>
      </w:pPr>
      <w:r>
        <w:rPr>
          <w:rFonts w:ascii="Arial" w:hAnsi="Arial" w:cs="Arial"/>
          <w:sz w:val="20"/>
          <w:szCs w:val="20"/>
        </w:rPr>
        <w:t>Information from the slide deck presented during the Stakeholder session and available on</w:t>
      </w:r>
      <w:r w:rsidR="00ED1C27">
        <w:rPr>
          <w:rFonts w:ascii="Arial" w:hAnsi="Arial" w:cs="Arial"/>
          <w:sz w:val="20"/>
          <w:szCs w:val="20"/>
        </w:rPr>
        <w:t xml:space="preserve"> </w:t>
      </w:r>
      <w:r>
        <w:rPr>
          <w:rFonts w:ascii="Arial" w:hAnsi="Arial" w:cs="Arial"/>
          <w:sz w:val="20"/>
          <w:szCs w:val="20"/>
        </w:rPr>
        <w:t>aeso.ca may provide additional information that will be helpful in completing the below matrix.</w:t>
      </w:r>
    </w:p>
    <w:p w14:paraId="3A444771" w14:textId="63C12BE4" w:rsidR="00B95BB0" w:rsidRDefault="00B95BB0" w:rsidP="00C43AA5">
      <w:pPr>
        <w:pStyle w:val="ListParagraph"/>
        <w:widowControl w:val="0"/>
        <w:spacing w:before="120" w:after="120"/>
        <w:ind w:left="0"/>
        <w:rPr>
          <w:rFonts w:ascii="Arial" w:hAnsi="Arial" w:cs="Arial"/>
          <w:sz w:val="20"/>
          <w:szCs w:val="20"/>
        </w:rPr>
      </w:pPr>
      <w:r>
        <w:rPr>
          <w:rFonts w:ascii="Arial" w:hAnsi="Arial" w:cs="Arial"/>
          <w:sz w:val="20"/>
          <w:szCs w:val="20"/>
        </w:rPr>
        <w:t>Please note that the AESO will consider the feedback provided here in tandem with the feedback provided following session 1. Therefore, stakeholders should not feel obligated to repeat feedback that has already been provided.</w:t>
      </w:r>
    </w:p>
    <w:p w14:paraId="3C286506" w14:textId="059A7F48" w:rsidR="002B5AA8" w:rsidRPr="00B95BB0" w:rsidRDefault="002B5AA8" w:rsidP="00C43AA5">
      <w:pPr>
        <w:pStyle w:val="ListParagraph"/>
        <w:widowControl w:val="0"/>
        <w:spacing w:before="120" w:after="120"/>
        <w:ind w:left="0"/>
        <w:rPr>
          <w:rFonts w:ascii="Arial" w:hAnsi="Arial" w:cs="Arial"/>
          <w:b/>
          <w:bCs/>
          <w:sz w:val="20"/>
          <w:szCs w:val="20"/>
        </w:rPr>
      </w:pPr>
      <w:r w:rsidRPr="00B95BB0">
        <w:rPr>
          <w:rFonts w:ascii="Arial" w:hAnsi="Arial" w:cs="Arial"/>
          <w:b/>
          <w:bCs/>
          <w:sz w:val="20"/>
          <w:szCs w:val="20"/>
        </w:rPr>
        <w:t>Standby Reserve Alternatives</w:t>
      </w:r>
    </w:p>
    <w:p w14:paraId="131190FA" w14:textId="199DC194" w:rsidR="002B5AA8" w:rsidRDefault="002B5AA8" w:rsidP="00C43AA5">
      <w:pPr>
        <w:pStyle w:val="ListParagraph"/>
        <w:widowControl w:val="0"/>
        <w:spacing w:before="120" w:after="120"/>
        <w:ind w:left="0"/>
        <w:rPr>
          <w:rFonts w:ascii="Arial" w:hAnsi="Arial" w:cs="Arial"/>
          <w:sz w:val="20"/>
          <w:szCs w:val="20"/>
        </w:rPr>
      </w:pPr>
      <w:r>
        <w:rPr>
          <w:rFonts w:ascii="Arial" w:hAnsi="Arial" w:cs="Arial"/>
          <w:sz w:val="20"/>
          <w:szCs w:val="20"/>
        </w:rPr>
        <w:t>Based on feedback received in the session, more detail is provided here on the pricing and procurement alternatives for standby reserves.</w:t>
      </w:r>
    </w:p>
    <w:p w14:paraId="5417F83F" w14:textId="27A5A883" w:rsidR="002B5AA8" w:rsidRPr="00B95BB0" w:rsidRDefault="002B5AA8" w:rsidP="002B5AA8">
      <w:pPr>
        <w:pStyle w:val="ListParagraph"/>
        <w:widowControl w:val="0"/>
        <w:numPr>
          <w:ilvl w:val="0"/>
          <w:numId w:val="22"/>
        </w:numPr>
        <w:spacing w:before="120" w:after="120"/>
        <w:rPr>
          <w:rFonts w:ascii="Arial" w:hAnsi="Arial" w:cs="Arial"/>
          <w:i/>
          <w:iCs/>
          <w:sz w:val="20"/>
          <w:szCs w:val="20"/>
        </w:rPr>
      </w:pPr>
      <w:r w:rsidRPr="00B95BB0">
        <w:rPr>
          <w:rFonts w:ascii="Arial" w:hAnsi="Arial" w:cs="Arial"/>
          <w:i/>
          <w:iCs/>
          <w:sz w:val="20"/>
          <w:szCs w:val="20"/>
        </w:rPr>
        <w:t>Single-part offers – Activation Price</w:t>
      </w:r>
    </w:p>
    <w:p w14:paraId="7B975905" w14:textId="539C83EE" w:rsidR="002B5AA8" w:rsidRDefault="002B5AA8" w:rsidP="00141B5B">
      <w:pPr>
        <w:widowControl w:val="0"/>
        <w:spacing w:before="120" w:after="120"/>
        <w:ind w:left="360"/>
        <w:rPr>
          <w:rFonts w:ascii="Arial" w:hAnsi="Arial" w:cs="Arial"/>
          <w:sz w:val="20"/>
          <w:szCs w:val="20"/>
        </w:rPr>
      </w:pPr>
      <w:r w:rsidRPr="002B5AA8">
        <w:rPr>
          <w:rFonts w:ascii="Arial" w:hAnsi="Arial" w:cs="Arial"/>
          <w:sz w:val="20"/>
          <w:szCs w:val="20"/>
        </w:rPr>
        <w:t>Participants submit a single-part offer to WattEx</w:t>
      </w:r>
      <w:r>
        <w:rPr>
          <w:rFonts w:ascii="Arial" w:hAnsi="Arial" w:cs="Arial"/>
          <w:sz w:val="20"/>
          <w:szCs w:val="20"/>
        </w:rPr>
        <w:t>, containing a volume and a</w:t>
      </w:r>
      <w:r w:rsidR="00141B5B">
        <w:rPr>
          <w:rFonts w:ascii="Arial" w:hAnsi="Arial" w:cs="Arial"/>
          <w:sz w:val="20"/>
          <w:szCs w:val="20"/>
        </w:rPr>
        <w:t>n activation</w:t>
      </w:r>
      <w:r>
        <w:rPr>
          <w:rFonts w:ascii="Arial" w:hAnsi="Arial" w:cs="Arial"/>
          <w:sz w:val="20"/>
          <w:szCs w:val="20"/>
        </w:rPr>
        <w:t xml:space="preserve"> price</w:t>
      </w:r>
      <w:r w:rsidR="00141B5B">
        <w:rPr>
          <w:rFonts w:ascii="Arial" w:hAnsi="Arial" w:cs="Arial"/>
          <w:sz w:val="20"/>
          <w:szCs w:val="20"/>
        </w:rPr>
        <w:t>, which is</w:t>
      </w:r>
      <w:r>
        <w:rPr>
          <w:rFonts w:ascii="Arial" w:hAnsi="Arial" w:cs="Arial"/>
          <w:sz w:val="20"/>
          <w:szCs w:val="20"/>
        </w:rPr>
        <w:t xml:space="preserve"> index</w:t>
      </w:r>
      <w:r w:rsidR="00141B5B">
        <w:rPr>
          <w:rFonts w:ascii="Arial" w:hAnsi="Arial" w:cs="Arial"/>
          <w:sz w:val="20"/>
          <w:szCs w:val="20"/>
        </w:rPr>
        <w:t>ed</w:t>
      </w:r>
      <w:r>
        <w:rPr>
          <w:rFonts w:ascii="Arial" w:hAnsi="Arial" w:cs="Arial"/>
          <w:sz w:val="20"/>
          <w:szCs w:val="20"/>
        </w:rPr>
        <w:t xml:space="preserve"> to the energy pool price. Participants do not submit a premium price offer and no premium </w:t>
      </w:r>
      <w:r w:rsidR="00F60944">
        <w:rPr>
          <w:rFonts w:ascii="Arial" w:hAnsi="Arial" w:cs="Arial"/>
          <w:sz w:val="20"/>
          <w:szCs w:val="20"/>
        </w:rPr>
        <w:t>is paid</w:t>
      </w:r>
      <w:r>
        <w:rPr>
          <w:rFonts w:ascii="Arial" w:hAnsi="Arial" w:cs="Arial"/>
          <w:sz w:val="20"/>
          <w:szCs w:val="20"/>
        </w:rPr>
        <w:t>. In this way, the submitted offers are similar to offers for active reserves. The AESO has suggested two alternative mechanisms for how to clear the market: day-ahead and real-time.</w:t>
      </w:r>
    </w:p>
    <w:p w14:paraId="249587FC" w14:textId="11809CEB" w:rsidR="002B5AA8" w:rsidRDefault="002B5AA8" w:rsidP="00141B5B">
      <w:pPr>
        <w:widowControl w:val="0"/>
        <w:spacing w:before="120" w:after="120"/>
        <w:ind w:left="360"/>
        <w:rPr>
          <w:rFonts w:ascii="Arial" w:hAnsi="Arial" w:cs="Arial"/>
          <w:sz w:val="20"/>
          <w:szCs w:val="20"/>
        </w:rPr>
      </w:pPr>
      <w:r>
        <w:rPr>
          <w:rFonts w:ascii="Arial" w:hAnsi="Arial" w:cs="Arial"/>
          <w:sz w:val="20"/>
          <w:szCs w:val="20"/>
        </w:rPr>
        <w:t xml:space="preserve">With day-ahead clearing, the standby market will function similarly to the active market. The AESO will procure a forecasted volume </w:t>
      </w:r>
      <w:r w:rsidR="00E93CEF">
        <w:rPr>
          <w:rFonts w:ascii="Arial" w:hAnsi="Arial" w:cs="Arial"/>
          <w:sz w:val="20"/>
          <w:szCs w:val="20"/>
        </w:rPr>
        <w:t xml:space="preserve">day-ahead </w:t>
      </w:r>
      <w:r>
        <w:rPr>
          <w:rFonts w:ascii="Arial" w:hAnsi="Arial" w:cs="Arial"/>
          <w:sz w:val="20"/>
          <w:szCs w:val="20"/>
        </w:rPr>
        <w:t xml:space="preserve">from the offers submitted to WattEx. The </w:t>
      </w:r>
      <w:r w:rsidR="00141B5B">
        <w:rPr>
          <w:rFonts w:ascii="Arial" w:hAnsi="Arial" w:cs="Arial"/>
          <w:sz w:val="20"/>
          <w:szCs w:val="20"/>
        </w:rPr>
        <w:t>activation</w:t>
      </w:r>
      <w:r>
        <w:rPr>
          <w:rFonts w:ascii="Arial" w:hAnsi="Arial" w:cs="Arial"/>
          <w:sz w:val="20"/>
          <w:szCs w:val="20"/>
        </w:rPr>
        <w:t xml:space="preserve"> price </w:t>
      </w:r>
      <w:r w:rsidR="00F60944">
        <w:rPr>
          <w:rFonts w:ascii="Arial" w:hAnsi="Arial" w:cs="Arial"/>
          <w:sz w:val="20"/>
          <w:szCs w:val="20"/>
        </w:rPr>
        <w:t xml:space="preserve">of the highest accepted offer will set the uniform </w:t>
      </w:r>
      <w:r w:rsidR="00141B5B">
        <w:rPr>
          <w:rFonts w:ascii="Arial" w:hAnsi="Arial" w:cs="Arial"/>
          <w:sz w:val="20"/>
          <w:szCs w:val="20"/>
        </w:rPr>
        <w:t>activation</w:t>
      </w:r>
      <w:r w:rsidR="00F60944">
        <w:rPr>
          <w:rFonts w:ascii="Arial" w:hAnsi="Arial" w:cs="Arial"/>
          <w:sz w:val="20"/>
          <w:szCs w:val="20"/>
        </w:rPr>
        <w:t xml:space="preserve"> price for all accepted offers. In real-time, all standby reserve providers whose offers are accepted will be dispatched to provide standby reserves. Dispatched standby reserve providers will participate in the energy market </w:t>
      </w:r>
      <w:r w:rsidR="00BC0821">
        <w:rPr>
          <w:rFonts w:ascii="Arial" w:hAnsi="Arial" w:cs="Arial"/>
          <w:sz w:val="20"/>
          <w:szCs w:val="20"/>
        </w:rPr>
        <w:t xml:space="preserve">(if applicable) </w:t>
      </w:r>
      <w:r w:rsidR="00F60944">
        <w:rPr>
          <w:rFonts w:ascii="Arial" w:hAnsi="Arial" w:cs="Arial"/>
          <w:sz w:val="20"/>
          <w:szCs w:val="20"/>
        </w:rPr>
        <w:t xml:space="preserve">as they </w:t>
      </w:r>
      <w:r w:rsidR="00141B5B">
        <w:rPr>
          <w:rFonts w:ascii="Arial" w:hAnsi="Arial" w:cs="Arial"/>
          <w:sz w:val="20"/>
          <w:szCs w:val="20"/>
        </w:rPr>
        <w:t>do</w:t>
      </w:r>
      <w:r w:rsidR="00F60944">
        <w:rPr>
          <w:rFonts w:ascii="Arial" w:hAnsi="Arial" w:cs="Arial"/>
          <w:sz w:val="20"/>
          <w:szCs w:val="20"/>
        </w:rPr>
        <w:t xml:space="preserve"> today; however, they will not receive a premium payment. Dispatched standby reserve providers will continue to be activated</w:t>
      </w:r>
      <w:r w:rsidR="00620042">
        <w:rPr>
          <w:rFonts w:ascii="Arial" w:hAnsi="Arial" w:cs="Arial"/>
          <w:sz w:val="20"/>
          <w:szCs w:val="20"/>
        </w:rPr>
        <w:t xml:space="preserve"> to provide reserves </w:t>
      </w:r>
      <w:r w:rsidR="0001227D">
        <w:rPr>
          <w:rFonts w:ascii="Arial" w:hAnsi="Arial" w:cs="Arial"/>
          <w:sz w:val="20"/>
          <w:szCs w:val="20"/>
        </w:rPr>
        <w:t xml:space="preserve">in </w:t>
      </w:r>
      <w:r w:rsidR="00620042">
        <w:rPr>
          <w:rFonts w:ascii="Arial" w:hAnsi="Arial" w:cs="Arial"/>
          <w:sz w:val="20"/>
          <w:szCs w:val="20"/>
        </w:rPr>
        <w:t>order of</w:t>
      </w:r>
      <w:r w:rsidR="00C8163F">
        <w:rPr>
          <w:rFonts w:ascii="Arial" w:hAnsi="Arial" w:cs="Arial"/>
          <w:sz w:val="20"/>
          <w:szCs w:val="20"/>
        </w:rPr>
        <w:t xml:space="preserve"> </w:t>
      </w:r>
      <w:r w:rsidR="0001227D">
        <w:rPr>
          <w:rFonts w:ascii="Arial" w:hAnsi="Arial" w:cs="Arial"/>
          <w:sz w:val="20"/>
          <w:szCs w:val="20"/>
        </w:rPr>
        <w:t>merit</w:t>
      </w:r>
      <w:r w:rsidR="00F60944">
        <w:rPr>
          <w:rFonts w:ascii="Arial" w:hAnsi="Arial" w:cs="Arial"/>
          <w:sz w:val="20"/>
          <w:szCs w:val="20"/>
        </w:rPr>
        <w:t xml:space="preserve"> as they are today</w:t>
      </w:r>
      <w:r w:rsidR="0001227D">
        <w:rPr>
          <w:rFonts w:ascii="Arial" w:hAnsi="Arial" w:cs="Arial"/>
          <w:sz w:val="20"/>
          <w:szCs w:val="20"/>
        </w:rPr>
        <w:t xml:space="preserve"> (from the lowest activation price offer to the highest activation price offer)</w:t>
      </w:r>
      <w:r w:rsidR="00F60944">
        <w:rPr>
          <w:rFonts w:ascii="Arial" w:hAnsi="Arial" w:cs="Arial"/>
          <w:sz w:val="20"/>
          <w:szCs w:val="20"/>
        </w:rPr>
        <w:t>. If they are activated, they will be paid the uniform activation price index that was determined in the day-ahead market plus the energy pool price.</w:t>
      </w:r>
    </w:p>
    <w:p w14:paraId="4014C0FA" w14:textId="45CC2324" w:rsidR="00F60944" w:rsidRDefault="00F60944" w:rsidP="00141B5B">
      <w:pPr>
        <w:widowControl w:val="0"/>
        <w:spacing w:before="120" w:after="120"/>
        <w:ind w:left="360"/>
        <w:rPr>
          <w:rFonts w:ascii="Arial" w:hAnsi="Arial" w:cs="Arial"/>
          <w:sz w:val="20"/>
          <w:szCs w:val="20"/>
        </w:rPr>
      </w:pPr>
      <w:r>
        <w:rPr>
          <w:rFonts w:ascii="Arial" w:hAnsi="Arial" w:cs="Arial"/>
          <w:sz w:val="20"/>
          <w:szCs w:val="20"/>
        </w:rPr>
        <w:t xml:space="preserve">With real-time clearing, all </w:t>
      </w:r>
      <w:r w:rsidR="0001227D">
        <w:rPr>
          <w:rFonts w:ascii="Arial" w:hAnsi="Arial" w:cs="Arial"/>
          <w:sz w:val="20"/>
          <w:szCs w:val="20"/>
        </w:rPr>
        <w:t xml:space="preserve">standby reserve </w:t>
      </w:r>
      <w:r>
        <w:rPr>
          <w:rFonts w:ascii="Arial" w:hAnsi="Arial" w:cs="Arial"/>
          <w:sz w:val="20"/>
          <w:szCs w:val="20"/>
        </w:rPr>
        <w:t xml:space="preserve">providers that offer into the day-ahead market will be dispatched to provide standby reserves in real-time. </w:t>
      </w:r>
      <w:r w:rsidR="0001227D">
        <w:rPr>
          <w:rFonts w:ascii="Arial" w:hAnsi="Arial" w:cs="Arial"/>
          <w:sz w:val="20"/>
          <w:szCs w:val="20"/>
        </w:rPr>
        <w:t xml:space="preserve">Dispatched standby reserve providers will participate in the energy market as they do today; however, they will not receive a premium payment. Dispatched standby reserve providers will continue to be activated in merit order as they are today (from the lowest activation price offer to the highest activation price offer). Instead of using a day-ahead activation price, the activation price will be determined in real-time based on the highest offer price of the activated providers. </w:t>
      </w:r>
      <w:r w:rsidR="00141B5B">
        <w:rPr>
          <w:rFonts w:ascii="Arial" w:hAnsi="Arial" w:cs="Arial"/>
          <w:sz w:val="20"/>
          <w:szCs w:val="20"/>
        </w:rPr>
        <w:t xml:space="preserve">All activated providers will earn this uniform activation price index plus the energy pool price. A settlement </w:t>
      </w:r>
      <w:r w:rsidR="00620042">
        <w:rPr>
          <w:rFonts w:ascii="Arial" w:hAnsi="Arial" w:cs="Arial"/>
          <w:sz w:val="20"/>
          <w:szCs w:val="20"/>
        </w:rPr>
        <w:t xml:space="preserve">tool and process </w:t>
      </w:r>
      <w:r w:rsidR="00141B5B">
        <w:rPr>
          <w:rFonts w:ascii="Arial" w:hAnsi="Arial" w:cs="Arial"/>
          <w:sz w:val="20"/>
          <w:szCs w:val="20"/>
        </w:rPr>
        <w:t xml:space="preserve">will likely be necessary to determine the activation price index when the marginal activated provider changes within the hour. This settlement could </w:t>
      </w:r>
      <w:r w:rsidR="00141B5B">
        <w:rPr>
          <w:rFonts w:ascii="Arial" w:hAnsi="Arial" w:cs="Arial"/>
          <w:sz w:val="20"/>
          <w:szCs w:val="20"/>
        </w:rPr>
        <w:lastRenderedPageBreak/>
        <w:t>mirror the hourly settlement used in the energy market.</w:t>
      </w:r>
    </w:p>
    <w:p w14:paraId="13E0277B" w14:textId="5A3EF6CB" w:rsidR="00F60944" w:rsidRPr="00B95BB0" w:rsidRDefault="00F60944" w:rsidP="00F60944">
      <w:pPr>
        <w:pStyle w:val="ListParagraph"/>
        <w:widowControl w:val="0"/>
        <w:numPr>
          <w:ilvl w:val="0"/>
          <w:numId w:val="22"/>
        </w:numPr>
        <w:spacing w:before="120" w:after="120"/>
        <w:rPr>
          <w:rFonts w:ascii="Arial" w:hAnsi="Arial" w:cs="Arial"/>
          <w:i/>
          <w:iCs/>
          <w:sz w:val="20"/>
          <w:szCs w:val="20"/>
        </w:rPr>
      </w:pPr>
      <w:r w:rsidRPr="00B95BB0">
        <w:rPr>
          <w:rFonts w:ascii="Arial" w:hAnsi="Arial" w:cs="Arial"/>
          <w:i/>
          <w:iCs/>
          <w:sz w:val="20"/>
          <w:szCs w:val="20"/>
        </w:rPr>
        <w:t>Single-part offers – Premium Price</w:t>
      </w:r>
    </w:p>
    <w:p w14:paraId="4CD64ED6" w14:textId="18A3561B" w:rsidR="00141B5B" w:rsidRDefault="00F60944" w:rsidP="00B95BB0">
      <w:pPr>
        <w:widowControl w:val="0"/>
        <w:spacing w:before="120" w:after="120"/>
        <w:ind w:left="360"/>
        <w:rPr>
          <w:rFonts w:ascii="Arial" w:hAnsi="Arial" w:cs="Arial"/>
          <w:sz w:val="20"/>
          <w:szCs w:val="20"/>
        </w:rPr>
      </w:pPr>
      <w:r>
        <w:rPr>
          <w:rFonts w:ascii="Arial" w:hAnsi="Arial" w:cs="Arial"/>
          <w:sz w:val="20"/>
          <w:szCs w:val="20"/>
        </w:rPr>
        <w:t>Participants submit a single-part offer to WattEx, containing a volume and a premium price. Participants do not submit an activation price.</w:t>
      </w:r>
      <w:r w:rsidR="00141B5B">
        <w:rPr>
          <w:rFonts w:ascii="Arial" w:hAnsi="Arial" w:cs="Arial"/>
          <w:sz w:val="20"/>
          <w:szCs w:val="20"/>
        </w:rPr>
        <w:t xml:space="preserve"> The AESO will procure a forecasted volume </w:t>
      </w:r>
      <w:r w:rsidR="00E93CEF">
        <w:rPr>
          <w:rFonts w:ascii="Arial" w:hAnsi="Arial" w:cs="Arial"/>
          <w:sz w:val="20"/>
          <w:szCs w:val="20"/>
        </w:rPr>
        <w:t xml:space="preserve">day-ahead </w:t>
      </w:r>
      <w:r w:rsidR="00141B5B">
        <w:rPr>
          <w:rFonts w:ascii="Arial" w:hAnsi="Arial" w:cs="Arial"/>
          <w:sz w:val="20"/>
          <w:szCs w:val="20"/>
        </w:rPr>
        <w:t>from the offers submitted to WattEx. The premium price of the highest accepted offer will set the uniform premium price for all accepted offers. In real-time, all standby reserve providers whose offers are accepted will be dispatched to provide standby reserves. Dispatched standby reserve providers will participate in the energy market</w:t>
      </w:r>
      <w:r w:rsidR="00BC0821">
        <w:rPr>
          <w:rFonts w:ascii="Arial" w:hAnsi="Arial" w:cs="Arial"/>
          <w:sz w:val="20"/>
          <w:szCs w:val="20"/>
        </w:rPr>
        <w:t xml:space="preserve"> </w:t>
      </w:r>
      <w:r w:rsidR="00141B5B">
        <w:rPr>
          <w:rFonts w:ascii="Arial" w:hAnsi="Arial" w:cs="Arial"/>
          <w:sz w:val="20"/>
          <w:szCs w:val="20"/>
        </w:rPr>
        <w:t>as they do today and will earn the uniform premium price.</w:t>
      </w:r>
      <w:r w:rsidR="00B95BB0">
        <w:rPr>
          <w:rFonts w:ascii="Arial" w:hAnsi="Arial" w:cs="Arial"/>
          <w:sz w:val="20"/>
          <w:szCs w:val="20"/>
        </w:rPr>
        <w:t xml:space="preserve"> The order of activation is less clear than today, as there is no activation price to </w:t>
      </w:r>
      <w:r w:rsidR="00BC0821">
        <w:rPr>
          <w:rFonts w:ascii="Arial" w:hAnsi="Arial" w:cs="Arial"/>
          <w:sz w:val="20"/>
          <w:szCs w:val="20"/>
        </w:rPr>
        <w:t>establish a merit order</w:t>
      </w:r>
      <w:r w:rsidR="00B95BB0">
        <w:rPr>
          <w:rFonts w:ascii="Arial" w:hAnsi="Arial" w:cs="Arial"/>
          <w:sz w:val="20"/>
          <w:szCs w:val="20"/>
        </w:rPr>
        <w:t>. One option may be to activate providers from lowest to highest premium. If a provider is activated, they will continue to earn the premium payment. They will also earn the prevailing active reserve price. For example, if a standby provider is activated for spinning reserves during the on-peak time block, that provider will earn the active price index for on-peak spinning reserves plus the energy pool price.</w:t>
      </w:r>
    </w:p>
    <w:p w14:paraId="7C021156" w14:textId="766000DB" w:rsidR="00792BF0" w:rsidRDefault="00B95BB0" w:rsidP="00B95BB0">
      <w:pPr>
        <w:widowControl w:val="0"/>
        <w:spacing w:before="120" w:after="120"/>
        <w:rPr>
          <w:rFonts w:ascii="Arial" w:hAnsi="Arial" w:cs="Arial"/>
          <w:sz w:val="20"/>
          <w:szCs w:val="20"/>
        </w:rPr>
      </w:pPr>
      <w:r>
        <w:rPr>
          <w:rFonts w:ascii="Arial" w:hAnsi="Arial" w:cs="Arial"/>
          <w:sz w:val="20"/>
          <w:szCs w:val="20"/>
        </w:rPr>
        <w:t>In the AESO’s view, the primary consideration for comparing these alternatives is the basis for the premium payment. In today’s market design, standby reserve providers face energy pool price risk and the premium payment acts as compensation for this risk. However, by indexing the activation price to the energy pool price, this risk is mitigated. Therefore, the rationale for the premium payment will depend on whether an asset that is dispatched for standby reserves (and can still participate in the energy market) faces any direct or opportunity costs compared to an energy provider that is not providing standby reserves. The AESO is not aware of any such costs and is seeking feedback on this issue.</w:t>
      </w:r>
    </w:p>
    <w:p w14:paraId="7CFEC237" w14:textId="77777777" w:rsidR="00B95BB0" w:rsidRPr="00F60944" w:rsidRDefault="00B95BB0" w:rsidP="00B95BB0">
      <w:pPr>
        <w:widowControl w:val="0"/>
        <w:spacing w:before="120" w:after="120"/>
        <w:rPr>
          <w:rFonts w:ascii="Arial" w:hAnsi="Arial" w:cs="Arial"/>
          <w:sz w:val="20"/>
          <w:szCs w:val="20"/>
        </w:rPr>
      </w:pPr>
    </w:p>
    <w:tbl>
      <w:tblPr>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57"/>
        <w:gridCol w:w="6613"/>
        <w:gridCol w:w="6210"/>
      </w:tblGrid>
      <w:tr w:rsidR="00C43AA5" w:rsidRPr="00C43AA5" w14:paraId="78C64BFA" w14:textId="77777777" w:rsidTr="00955BA0">
        <w:trPr>
          <w:tblHeader/>
        </w:trPr>
        <w:tc>
          <w:tcPr>
            <w:tcW w:w="857" w:type="dxa"/>
            <w:shd w:val="clear" w:color="auto" w:fill="365F91"/>
          </w:tcPr>
          <w:p w14:paraId="4B05581C" w14:textId="77777777" w:rsidR="00C43AA5" w:rsidRPr="00C43AA5" w:rsidRDefault="00C43AA5" w:rsidP="00C43AA5">
            <w:pPr>
              <w:keepNext/>
              <w:spacing w:before="120" w:after="120"/>
              <w:rPr>
                <w:rFonts w:ascii="Arial" w:hAnsi="Arial" w:cs="Arial"/>
                <w:b/>
                <w:color w:val="FFFFFF"/>
                <w:sz w:val="20"/>
                <w:szCs w:val="20"/>
              </w:rPr>
            </w:pPr>
            <w:bookmarkStart w:id="3" w:name="_Hlk89258949"/>
          </w:p>
        </w:tc>
        <w:tc>
          <w:tcPr>
            <w:tcW w:w="6613" w:type="dxa"/>
            <w:shd w:val="clear" w:color="auto" w:fill="365F91"/>
          </w:tcPr>
          <w:p w14:paraId="271202D0" w14:textId="77777777" w:rsidR="00C43AA5" w:rsidRPr="00C43AA5" w:rsidRDefault="00C43AA5" w:rsidP="00C43AA5">
            <w:pPr>
              <w:keepNext/>
              <w:spacing w:before="120" w:after="120"/>
              <w:rPr>
                <w:rFonts w:ascii="Arial" w:hAnsi="Arial" w:cs="Arial"/>
                <w:b/>
                <w:color w:val="FFFFFF"/>
                <w:sz w:val="20"/>
                <w:szCs w:val="20"/>
              </w:rPr>
            </w:pPr>
            <w:r w:rsidRPr="00C43AA5">
              <w:rPr>
                <w:rFonts w:ascii="Arial" w:hAnsi="Arial" w:cs="Arial"/>
                <w:b/>
                <w:color w:val="FFFFFF"/>
                <w:sz w:val="20"/>
                <w:szCs w:val="20"/>
              </w:rPr>
              <w:t>Questions</w:t>
            </w:r>
          </w:p>
        </w:tc>
        <w:tc>
          <w:tcPr>
            <w:tcW w:w="6210" w:type="dxa"/>
            <w:shd w:val="clear" w:color="auto" w:fill="365F91"/>
          </w:tcPr>
          <w:p w14:paraId="7902BAD4" w14:textId="77777777" w:rsidR="00C43AA5" w:rsidRPr="00C43AA5" w:rsidRDefault="00C43AA5" w:rsidP="00C43AA5">
            <w:pPr>
              <w:keepNext/>
              <w:spacing w:before="120" w:after="120"/>
              <w:ind w:left="15"/>
              <w:rPr>
                <w:rFonts w:ascii="Arial" w:hAnsi="Arial" w:cs="Arial"/>
                <w:b/>
                <w:color w:val="FFFFFF"/>
                <w:sz w:val="20"/>
                <w:szCs w:val="20"/>
              </w:rPr>
            </w:pPr>
            <w:r w:rsidRPr="00C43AA5">
              <w:rPr>
                <w:rFonts w:ascii="Arial" w:hAnsi="Arial" w:cs="Arial"/>
                <w:b/>
                <w:color w:val="FFFFFF"/>
                <w:sz w:val="20"/>
                <w:szCs w:val="20"/>
              </w:rPr>
              <w:t xml:space="preserve">Stakeholder Comments </w:t>
            </w:r>
          </w:p>
        </w:tc>
      </w:tr>
      <w:tr w:rsidR="00C43AA5" w:rsidRPr="00C43AA5" w14:paraId="7EDA2A13" w14:textId="77777777" w:rsidTr="00955BA0">
        <w:trPr>
          <w:trHeight w:val="923"/>
        </w:trPr>
        <w:tc>
          <w:tcPr>
            <w:tcW w:w="13680" w:type="dxa"/>
            <w:gridSpan w:val="3"/>
            <w:shd w:val="clear" w:color="auto" w:fill="auto"/>
          </w:tcPr>
          <w:p w14:paraId="550DF782" w14:textId="77777777" w:rsidR="008C47FF" w:rsidRDefault="00C43AA5" w:rsidP="002E6907">
            <w:pPr>
              <w:widowControl w:val="0"/>
              <w:spacing w:before="120" w:after="120"/>
              <w:ind w:left="335" w:right="158"/>
              <w:rPr>
                <w:rFonts w:ascii="Arial" w:hAnsi="Arial" w:cs="Arial"/>
                <w:b/>
                <w:bCs/>
                <w:sz w:val="20"/>
                <w:szCs w:val="20"/>
              </w:rPr>
            </w:pPr>
            <w:r w:rsidRPr="00C43AA5">
              <w:rPr>
                <w:rFonts w:ascii="Arial" w:hAnsi="Arial" w:cs="Arial"/>
                <w:b/>
                <w:bCs/>
                <w:sz w:val="20"/>
                <w:szCs w:val="20"/>
              </w:rPr>
              <w:t xml:space="preserve">Each of the following fields includes one of the AESO’s market design alternatives. </w:t>
            </w:r>
            <w:r w:rsidR="002E6907">
              <w:rPr>
                <w:rFonts w:ascii="Arial" w:hAnsi="Arial" w:cs="Arial"/>
                <w:b/>
                <w:bCs/>
                <w:sz w:val="20"/>
                <w:szCs w:val="20"/>
              </w:rPr>
              <w:t>For group 1, the AESO is seeking feedback on the draft recommendation, while for group 2, the AESO is seeking feedback on the proposed alternative(s).</w:t>
            </w:r>
          </w:p>
          <w:p w14:paraId="7966FBE3" w14:textId="5EF76C98" w:rsidR="00C43AA5" w:rsidRPr="00C43AA5" w:rsidRDefault="002E6907" w:rsidP="002E6907">
            <w:pPr>
              <w:widowControl w:val="0"/>
              <w:spacing w:before="120" w:after="120"/>
              <w:ind w:left="335" w:right="158"/>
              <w:rPr>
                <w:rFonts w:ascii="Arial" w:hAnsi="Arial" w:cs="Arial"/>
                <w:b/>
                <w:bCs/>
                <w:sz w:val="20"/>
                <w:szCs w:val="20"/>
              </w:rPr>
            </w:pPr>
            <w:r>
              <w:rPr>
                <w:rFonts w:ascii="Arial" w:hAnsi="Arial" w:cs="Arial"/>
                <w:b/>
                <w:bCs/>
                <w:sz w:val="20"/>
                <w:szCs w:val="20"/>
              </w:rPr>
              <w:t>Where the AESO is seeking feedback on a specific element of the proposal, it has noted this in the question box.</w:t>
            </w:r>
            <w:r w:rsidR="008C47FF">
              <w:rPr>
                <w:rFonts w:ascii="Arial" w:hAnsi="Arial" w:cs="Arial"/>
                <w:b/>
                <w:bCs/>
                <w:sz w:val="20"/>
                <w:szCs w:val="20"/>
              </w:rPr>
              <w:t xml:space="preserve"> If you have suggestions for further quantitative analysis that the AESO should consider, please be specific regarding the methodology, assumptions, and data to be used.</w:t>
            </w:r>
          </w:p>
        </w:tc>
      </w:tr>
      <w:tr w:rsidR="002E6907" w:rsidRPr="00C43AA5" w14:paraId="2F03C018" w14:textId="77777777" w:rsidTr="002E6907">
        <w:trPr>
          <w:trHeight w:val="432"/>
        </w:trPr>
        <w:tc>
          <w:tcPr>
            <w:tcW w:w="13680" w:type="dxa"/>
            <w:gridSpan w:val="3"/>
            <w:shd w:val="clear" w:color="auto" w:fill="D9D9D9" w:themeFill="background1" w:themeFillShade="D9"/>
          </w:tcPr>
          <w:p w14:paraId="3955E375" w14:textId="59B3667C" w:rsidR="002E6907" w:rsidRPr="002E6907" w:rsidRDefault="002E6907" w:rsidP="002E6907">
            <w:pPr>
              <w:widowControl w:val="0"/>
              <w:spacing w:before="120" w:after="120"/>
              <w:ind w:left="335" w:right="158"/>
              <w:rPr>
                <w:rFonts w:ascii="Arial" w:hAnsi="Arial" w:cs="Arial"/>
                <w:i/>
                <w:iCs/>
                <w:sz w:val="20"/>
                <w:szCs w:val="20"/>
              </w:rPr>
            </w:pPr>
            <w:r w:rsidRPr="002E6907">
              <w:rPr>
                <w:rFonts w:ascii="Arial" w:hAnsi="Arial" w:cs="Arial"/>
                <w:i/>
                <w:iCs/>
                <w:sz w:val="20"/>
                <w:szCs w:val="20"/>
              </w:rPr>
              <w:t>Group 1</w:t>
            </w:r>
          </w:p>
        </w:tc>
      </w:tr>
      <w:tr w:rsidR="00C43AA5" w:rsidRPr="00C43AA5" w14:paraId="6F49552A" w14:textId="77777777" w:rsidTr="00955BA0">
        <w:trPr>
          <w:trHeight w:val="923"/>
        </w:trPr>
        <w:tc>
          <w:tcPr>
            <w:tcW w:w="857" w:type="dxa"/>
            <w:shd w:val="clear" w:color="auto" w:fill="auto"/>
          </w:tcPr>
          <w:p w14:paraId="128D096D"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3</w:t>
            </w:r>
          </w:p>
        </w:tc>
        <w:tc>
          <w:tcPr>
            <w:tcW w:w="6613" w:type="dxa"/>
          </w:tcPr>
          <w:p w14:paraId="0F177A2A" w14:textId="77777777" w:rsidR="00C43AA5" w:rsidRDefault="00C43AA5" w:rsidP="00C43AA5">
            <w:pPr>
              <w:widowControl w:val="0"/>
              <w:spacing w:before="120" w:after="120"/>
              <w:rPr>
                <w:rFonts w:ascii="Arial" w:hAnsi="Arial" w:cs="Arial"/>
                <w:sz w:val="20"/>
                <w:szCs w:val="20"/>
              </w:rPr>
            </w:pPr>
            <w:r w:rsidRPr="00C43AA5">
              <w:rPr>
                <w:rFonts w:ascii="Arial" w:hAnsi="Arial" w:cs="Arial"/>
                <w:sz w:val="20"/>
                <w:szCs w:val="20"/>
              </w:rPr>
              <w:t>Equilibrium pricing &amp; AESO bid price</w:t>
            </w:r>
          </w:p>
          <w:p w14:paraId="47AF4B13" w14:textId="2225E6E0" w:rsidR="002E6907" w:rsidRPr="00C43AA5" w:rsidRDefault="002E6907" w:rsidP="00C43AA5">
            <w:pPr>
              <w:widowControl w:val="0"/>
              <w:spacing w:before="120" w:after="120"/>
              <w:rPr>
                <w:rFonts w:ascii="Arial" w:hAnsi="Arial" w:cs="Arial"/>
                <w:sz w:val="20"/>
                <w:szCs w:val="20"/>
              </w:rPr>
            </w:pPr>
            <w:r>
              <w:rPr>
                <w:rFonts w:ascii="Arial" w:hAnsi="Arial" w:cs="Arial"/>
                <w:sz w:val="20"/>
                <w:szCs w:val="20"/>
              </w:rPr>
              <w:t xml:space="preserve">Do you have any feedback on the AESO’s proposed principles and considerations for determining the OR price caps? </w:t>
            </w:r>
          </w:p>
        </w:tc>
        <w:tc>
          <w:tcPr>
            <w:tcW w:w="6210" w:type="dxa"/>
            <w:shd w:val="clear" w:color="auto" w:fill="auto"/>
          </w:tcPr>
          <w:p w14:paraId="2AE005C0" w14:textId="0678BAC8" w:rsidR="0064000A" w:rsidRPr="00C43AA5" w:rsidRDefault="0064000A" w:rsidP="0064000A">
            <w:pPr>
              <w:widowControl w:val="0"/>
              <w:spacing w:before="120" w:after="120"/>
              <w:rPr>
                <w:rFonts w:ascii="Arial" w:hAnsi="Arial" w:cs="Arial"/>
                <w:sz w:val="20"/>
                <w:szCs w:val="20"/>
              </w:rPr>
            </w:pPr>
          </w:p>
        </w:tc>
      </w:tr>
      <w:tr w:rsidR="00C43AA5" w:rsidRPr="00C43AA5" w14:paraId="1404F1CC" w14:textId="77777777" w:rsidTr="00955BA0">
        <w:trPr>
          <w:trHeight w:val="363"/>
        </w:trPr>
        <w:tc>
          <w:tcPr>
            <w:tcW w:w="857" w:type="dxa"/>
            <w:shd w:val="clear" w:color="auto" w:fill="auto"/>
          </w:tcPr>
          <w:p w14:paraId="6B5511DC"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4</w:t>
            </w:r>
          </w:p>
        </w:tc>
        <w:tc>
          <w:tcPr>
            <w:tcW w:w="6613" w:type="dxa"/>
          </w:tcPr>
          <w:p w14:paraId="6F65D3D4" w14:textId="77777777" w:rsidR="00C43AA5" w:rsidRDefault="00C43AA5" w:rsidP="00C43AA5">
            <w:pPr>
              <w:widowControl w:val="0"/>
              <w:spacing w:before="120" w:after="120"/>
              <w:rPr>
                <w:rFonts w:ascii="Arial" w:hAnsi="Arial" w:cs="Arial"/>
                <w:sz w:val="20"/>
                <w:szCs w:val="20"/>
              </w:rPr>
            </w:pPr>
            <w:r w:rsidRPr="00C43AA5">
              <w:rPr>
                <w:rFonts w:ascii="Arial" w:hAnsi="Arial" w:cs="Arial"/>
                <w:sz w:val="20"/>
                <w:szCs w:val="20"/>
              </w:rPr>
              <w:t>Standing offers</w:t>
            </w:r>
          </w:p>
          <w:p w14:paraId="399B0A73" w14:textId="68E53FB8" w:rsidR="002E6907" w:rsidRPr="00C43AA5" w:rsidRDefault="008147BA" w:rsidP="00C43AA5">
            <w:pPr>
              <w:widowControl w:val="0"/>
              <w:spacing w:before="120" w:after="120"/>
              <w:rPr>
                <w:rFonts w:ascii="Arial" w:hAnsi="Arial" w:cs="Arial"/>
                <w:sz w:val="20"/>
                <w:szCs w:val="20"/>
              </w:rPr>
            </w:pPr>
            <w:r>
              <w:rPr>
                <w:rFonts w:ascii="Arial" w:hAnsi="Arial" w:cs="Arial"/>
                <w:sz w:val="20"/>
                <w:szCs w:val="20"/>
              </w:rPr>
              <w:t xml:space="preserve">In light of potential changes to other design elements, such as block procurement and standby procurement, do you support the AESO’s </w:t>
            </w:r>
            <w:r>
              <w:rPr>
                <w:rFonts w:ascii="Arial" w:hAnsi="Arial" w:cs="Arial"/>
                <w:sz w:val="20"/>
                <w:szCs w:val="20"/>
              </w:rPr>
              <w:lastRenderedPageBreak/>
              <w:t>draft recommendation to not pursue this change at this time?</w:t>
            </w:r>
          </w:p>
        </w:tc>
        <w:tc>
          <w:tcPr>
            <w:tcW w:w="6210" w:type="dxa"/>
            <w:shd w:val="clear" w:color="auto" w:fill="auto"/>
          </w:tcPr>
          <w:p w14:paraId="0BECBC6A" w14:textId="77777777" w:rsidR="00C43AA5" w:rsidRPr="00C43AA5" w:rsidRDefault="00C43AA5" w:rsidP="00C43AA5">
            <w:pPr>
              <w:widowControl w:val="0"/>
              <w:spacing w:before="120" w:after="120"/>
              <w:ind w:left="108"/>
              <w:rPr>
                <w:rFonts w:ascii="Arial" w:hAnsi="Arial" w:cs="Arial"/>
                <w:sz w:val="20"/>
                <w:szCs w:val="20"/>
              </w:rPr>
            </w:pPr>
          </w:p>
        </w:tc>
      </w:tr>
      <w:tr w:rsidR="00C43AA5" w:rsidRPr="00C43AA5" w14:paraId="434EB44A" w14:textId="77777777" w:rsidTr="00955BA0">
        <w:trPr>
          <w:trHeight w:val="363"/>
        </w:trPr>
        <w:tc>
          <w:tcPr>
            <w:tcW w:w="857" w:type="dxa"/>
            <w:shd w:val="clear" w:color="auto" w:fill="auto"/>
          </w:tcPr>
          <w:p w14:paraId="1CBCD6EF"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5</w:t>
            </w:r>
          </w:p>
        </w:tc>
        <w:tc>
          <w:tcPr>
            <w:tcW w:w="6613" w:type="dxa"/>
          </w:tcPr>
          <w:p w14:paraId="1B47BA39" w14:textId="77777777" w:rsidR="00C43AA5" w:rsidRDefault="00C43AA5" w:rsidP="00C43AA5">
            <w:pPr>
              <w:widowControl w:val="0"/>
              <w:spacing w:before="120" w:after="120"/>
              <w:rPr>
                <w:rFonts w:ascii="Arial" w:hAnsi="Arial" w:cs="Arial"/>
                <w:sz w:val="20"/>
                <w:szCs w:val="20"/>
              </w:rPr>
            </w:pPr>
            <w:r w:rsidRPr="00C43AA5">
              <w:rPr>
                <w:rFonts w:ascii="Arial" w:hAnsi="Arial" w:cs="Arial"/>
                <w:sz w:val="20"/>
                <w:szCs w:val="20"/>
              </w:rPr>
              <w:t>Offer transparency</w:t>
            </w:r>
          </w:p>
          <w:p w14:paraId="2E8CFDC9" w14:textId="5AD80EB8" w:rsidR="00783352" w:rsidRDefault="008147BA" w:rsidP="00783352">
            <w:pPr>
              <w:widowControl w:val="0"/>
              <w:spacing w:before="120" w:after="120"/>
              <w:rPr>
                <w:rFonts w:ascii="Arial" w:hAnsi="Arial" w:cs="Arial"/>
                <w:sz w:val="20"/>
                <w:szCs w:val="20"/>
              </w:rPr>
            </w:pPr>
            <w:r>
              <w:rPr>
                <w:rFonts w:ascii="Arial" w:hAnsi="Arial" w:cs="Arial"/>
                <w:sz w:val="20"/>
                <w:szCs w:val="20"/>
              </w:rPr>
              <w:t xml:space="preserve">The AESO’s intent is to </w:t>
            </w:r>
            <w:r w:rsidR="00783352">
              <w:rPr>
                <w:rFonts w:ascii="Arial" w:hAnsi="Arial" w:cs="Arial"/>
                <w:sz w:val="20"/>
                <w:szCs w:val="20"/>
              </w:rPr>
              <w:t>continue</w:t>
            </w:r>
            <w:r>
              <w:rPr>
                <w:rFonts w:ascii="Arial" w:hAnsi="Arial" w:cs="Arial"/>
                <w:sz w:val="20"/>
                <w:szCs w:val="20"/>
              </w:rPr>
              <w:t xml:space="preserve"> allow</w:t>
            </w:r>
            <w:r w:rsidR="00783352">
              <w:rPr>
                <w:rFonts w:ascii="Arial" w:hAnsi="Arial" w:cs="Arial"/>
                <w:sz w:val="20"/>
                <w:szCs w:val="20"/>
              </w:rPr>
              <w:t>ing</w:t>
            </w:r>
            <w:r>
              <w:rPr>
                <w:rFonts w:ascii="Arial" w:hAnsi="Arial" w:cs="Arial"/>
                <w:sz w:val="20"/>
                <w:szCs w:val="20"/>
              </w:rPr>
              <w:t xml:space="preserve"> participants to see the clearing price immediately following each procurement in WattEx. This information is also published as part of the operating reserve price reports, which are updated daily. If you are of the view that more </w:t>
            </w:r>
            <w:r w:rsidR="00783352">
              <w:rPr>
                <w:rFonts w:ascii="Arial" w:hAnsi="Arial" w:cs="Arial"/>
                <w:sz w:val="20"/>
                <w:szCs w:val="20"/>
              </w:rPr>
              <w:t xml:space="preserve">detailed offer </w:t>
            </w:r>
            <w:r>
              <w:rPr>
                <w:rFonts w:ascii="Arial" w:hAnsi="Arial" w:cs="Arial"/>
                <w:sz w:val="20"/>
                <w:szCs w:val="20"/>
              </w:rPr>
              <w:t xml:space="preserve">information is needed </w:t>
            </w:r>
            <w:r w:rsidR="00783352">
              <w:rPr>
                <w:rFonts w:ascii="Arial" w:hAnsi="Arial" w:cs="Arial"/>
                <w:sz w:val="20"/>
                <w:szCs w:val="20"/>
              </w:rPr>
              <w:t>to establish a competitive offer strategy, please explain</w:t>
            </w:r>
            <w:r w:rsidR="00D0155C">
              <w:rPr>
                <w:rFonts w:ascii="Arial" w:hAnsi="Arial" w:cs="Arial"/>
                <w:sz w:val="20"/>
                <w:szCs w:val="20"/>
              </w:rPr>
              <w:t xml:space="preserve"> why</w:t>
            </w:r>
            <w:r w:rsidR="008C47FF">
              <w:rPr>
                <w:rFonts w:ascii="Arial" w:hAnsi="Arial" w:cs="Arial"/>
                <w:sz w:val="20"/>
                <w:szCs w:val="20"/>
              </w:rPr>
              <w:t>.</w:t>
            </w:r>
          </w:p>
          <w:p w14:paraId="7B026FD2" w14:textId="54DB381C" w:rsidR="0068370B" w:rsidRDefault="0068370B" w:rsidP="00783352">
            <w:pPr>
              <w:widowControl w:val="0"/>
              <w:spacing w:before="120" w:after="120"/>
              <w:rPr>
                <w:rFonts w:ascii="Arial" w:hAnsi="Arial" w:cs="Arial"/>
                <w:sz w:val="20"/>
                <w:szCs w:val="20"/>
              </w:rPr>
            </w:pPr>
            <w:r>
              <w:rPr>
                <w:rFonts w:ascii="Arial" w:hAnsi="Arial" w:cs="Arial"/>
                <w:sz w:val="20"/>
                <w:szCs w:val="20"/>
              </w:rPr>
              <w:t>What other information should be released by the AESO, and in what time period, to support the implementation of the draft recommendation?</w:t>
            </w:r>
          </w:p>
          <w:p w14:paraId="17A08708" w14:textId="3B9BC2E0" w:rsidR="00F0459D" w:rsidRDefault="00F0459D" w:rsidP="00783352">
            <w:pPr>
              <w:widowControl w:val="0"/>
              <w:spacing w:before="120" w:after="120"/>
              <w:rPr>
                <w:rFonts w:ascii="Arial" w:hAnsi="Arial" w:cs="Arial"/>
                <w:sz w:val="20"/>
                <w:szCs w:val="20"/>
              </w:rPr>
            </w:pPr>
            <w:r>
              <w:rPr>
                <w:rFonts w:ascii="Arial" w:hAnsi="Arial" w:cs="Arial"/>
                <w:sz w:val="20"/>
                <w:szCs w:val="20"/>
              </w:rPr>
              <w:t xml:space="preserve">If the AESO were to pursue a sealed bid </w:t>
            </w:r>
            <w:r w:rsidR="00F20F36">
              <w:rPr>
                <w:rFonts w:ascii="Arial" w:hAnsi="Arial" w:cs="Arial"/>
                <w:sz w:val="20"/>
                <w:szCs w:val="20"/>
              </w:rPr>
              <w:t>format</w:t>
            </w:r>
            <w:r>
              <w:rPr>
                <w:rFonts w:ascii="Arial" w:hAnsi="Arial" w:cs="Arial"/>
                <w:sz w:val="20"/>
                <w:szCs w:val="20"/>
              </w:rPr>
              <w:t>, do you have suggestions for how the market would break a tie between equal priced offers? The current practice favours the first offer received.</w:t>
            </w:r>
          </w:p>
          <w:p w14:paraId="138E4EAB" w14:textId="469BC49C" w:rsidR="00783352" w:rsidRPr="00C43AA5" w:rsidRDefault="00D0155C" w:rsidP="00783352">
            <w:pPr>
              <w:widowControl w:val="0"/>
              <w:spacing w:before="120" w:after="120"/>
              <w:rPr>
                <w:rFonts w:ascii="Arial" w:hAnsi="Arial" w:cs="Arial"/>
                <w:sz w:val="20"/>
                <w:szCs w:val="20"/>
              </w:rPr>
            </w:pPr>
            <w:r>
              <w:rPr>
                <w:rFonts w:ascii="Arial" w:hAnsi="Arial" w:cs="Arial"/>
                <w:sz w:val="20"/>
                <w:szCs w:val="20"/>
              </w:rPr>
              <w:t>P</w:t>
            </w:r>
            <w:r w:rsidR="00783352">
              <w:rPr>
                <w:rFonts w:ascii="Arial" w:hAnsi="Arial" w:cs="Arial"/>
                <w:sz w:val="20"/>
                <w:szCs w:val="20"/>
              </w:rPr>
              <w:t>lease describe whether the ability to prevent your offer block from being partially filled</w:t>
            </w:r>
            <w:r w:rsidR="001E6FDC">
              <w:rPr>
                <w:rFonts w:ascii="Arial" w:hAnsi="Arial" w:cs="Arial"/>
                <w:sz w:val="20"/>
                <w:szCs w:val="20"/>
              </w:rPr>
              <w:t xml:space="preserve"> (i.e. it would only be fully accepted or not accepted)</w:t>
            </w:r>
            <w:r w:rsidR="004669D1">
              <w:rPr>
                <w:rFonts w:ascii="Arial" w:hAnsi="Arial" w:cs="Arial"/>
                <w:sz w:val="20"/>
                <w:szCs w:val="20"/>
              </w:rPr>
              <w:t xml:space="preserve"> in the day-ahead</w:t>
            </w:r>
            <w:r w:rsidR="00783352">
              <w:rPr>
                <w:rFonts w:ascii="Arial" w:hAnsi="Arial" w:cs="Arial"/>
                <w:sz w:val="20"/>
                <w:szCs w:val="20"/>
              </w:rPr>
              <w:t xml:space="preserve"> </w:t>
            </w:r>
            <w:r w:rsidR="004669D1">
              <w:rPr>
                <w:rFonts w:ascii="Arial" w:hAnsi="Arial" w:cs="Arial"/>
                <w:sz w:val="20"/>
                <w:szCs w:val="20"/>
              </w:rPr>
              <w:t xml:space="preserve">market </w:t>
            </w:r>
            <w:r w:rsidR="00783352">
              <w:rPr>
                <w:rFonts w:ascii="Arial" w:hAnsi="Arial" w:cs="Arial"/>
                <w:sz w:val="20"/>
                <w:szCs w:val="20"/>
              </w:rPr>
              <w:t>would enable you to</w:t>
            </w:r>
            <w:r w:rsidR="004669D1">
              <w:rPr>
                <w:rFonts w:ascii="Arial" w:hAnsi="Arial" w:cs="Arial"/>
                <w:sz w:val="20"/>
                <w:szCs w:val="20"/>
              </w:rPr>
              <w:t xml:space="preserve"> participate more easily</w:t>
            </w:r>
            <w:r w:rsidR="00783352">
              <w:rPr>
                <w:rFonts w:ascii="Arial" w:hAnsi="Arial" w:cs="Arial"/>
                <w:sz w:val="20"/>
                <w:szCs w:val="20"/>
              </w:rPr>
              <w:t>.</w:t>
            </w:r>
          </w:p>
        </w:tc>
        <w:tc>
          <w:tcPr>
            <w:tcW w:w="6210" w:type="dxa"/>
            <w:shd w:val="clear" w:color="auto" w:fill="auto"/>
          </w:tcPr>
          <w:p w14:paraId="556CA04E" w14:textId="77777777" w:rsidR="00C43AA5" w:rsidRPr="00C43AA5" w:rsidRDefault="00C43AA5" w:rsidP="00C43AA5">
            <w:pPr>
              <w:widowControl w:val="0"/>
              <w:spacing w:before="120" w:after="120"/>
              <w:ind w:left="108"/>
              <w:rPr>
                <w:rFonts w:ascii="Arial" w:hAnsi="Arial" w:cs="Arial"/>
                <w:sz w:val="20"/>
                <w:szCs w:val="20"/>
              </w:rPr>
            </w:pPr>
          </w:p>
        </w:tc>
      </w:tr>
      <w:tr w:rsidR="00C43AA5" w:rsidRPr="00C43AA5" w14:paraId="4CF6EB40" w14:textId="77777777" w:rsidTr="00955BA0">
        <w:trPr>
          <w:trHeight w:val="231"/>
        </w:trPr>
        <w:tc>
          <w:tcPr>
            <w:tcW w:w="857" w:type="dxa"/>
            <w:shd w:val="clear" w:color="auto" w:fill="auto"/>
          </w:tcPr>
          <w:p w14:paraId="3D676090"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6</w:t>
            </w:r>
          </w:p>
        </w:tc>
        <w:tc>
          <w:tcPr>
            <w:tcW w:w="6613" w:type="dxa"/>
          </w:tcPr>
          <w:p w14:paraId="08FFCB98" w14:textId="77777777" w:rsidR="00C43AA5" w:rsidRDefault="00C43AA5" w:rsidP="00C43AA5">
            <w:pPr>
              <w:widowControl w:val="0"/>
              <w:spacing w:before="120" w:after="120"/>
              <w:rPr>
                <w:rFonts w:ascii="Arial" w:hAnsi="Arial" w:cs="Arial"/>
                <w:sz w:val="20"/>
                <w:szCs w:val="20"/>
              </w:rPr>
            </w:pPr>
            <w:r w:rsidRPr="00C43AA5">
              <w:rPr>
                <w:rFonts w:ascii="Arial" w:hAnsi="Arial" w:cs="Arial"/>
                <w:sz w:val="20"/>
                <w:szCs w:val="20"/>
              </w:rPr>
              <w:t>Minimum qualification &amp; offer size</w:t>
            </w:r>
          </w:p>
          <w:p w14:paraId="41F03A72" w14:textId="06FB9100" w:rsidR="00620042" w:rsidRPr="00C43AA5" w:rsidRDefault="00620042" w:rsidP="00C43AA5">
            <w:pPr>
              <w:widowControl w:val="0"/>
              <w:spacing w:before="120" w:after="120"/>
              <w:rPr>
                <w:rFonts w:ascii="Arial" w:hAnsi="Arial" w:cs="Arial"/>
                <w:sz w:val="20"/>
                <w:szCs w:val="20"/>
              </w:rPr>
            </w:pPr>
            <w:r w:rsidRPr="00620042">
              <w:rPr>
                <w:rFonts w:ascii="Arial" w:hAnsi="Arial" w:cs="Arial"/>
                <w:sz w:val="20"/>
                <w:szCs w:val="20"/>
              </w:rPr>
              <w:t>The AESO has received stakeholder feedback on this topic through the DER Market participation initiative and session 1 of this initiative. If you have any additional comments that your organization has not previously submitted that the AESO should consider on this topic, please provide.</w:t>
            </w:r>
          </w:p>
        </w:tc>
        <w:tc>
          <w:tcPr>
            <w:tcW w:w="6210" w:type="dxa"/>
            <w:shd w:val="clear" w:color="auto" w:fill="auto"/>
          </w:tcPr>
          <w:p w14:paraId="37FF01DA" w14:textId="77777777" w:rsidR="00C43AA5" w:rsidRPr="00C43AA5" w:rsidRDefault="00C43AA5" w:rsidP="00C43AA5">
            <w:pPr>
              <w:widowControl w:val="0"/>
              <w:spacing w:before="120" w:after="120"/>
              <w:ind w:left="108"/>
              <w:rPr>
                <w:rFonts w:ascii="Arial" w:hAnsi="Arial" w:cs="Arial"/>
                <w:sz w:val="20"/>
                <w:szCs w:val="20"/>
              </w:rPr>
            </w:pPr>
          </w:p>
        </w:tc>
      </w:tr>
      <w:tr w:rsidR="002E6907" w:rsidRPr="00C43AA5" w14:paraId="1AB9BD48" w14:textId="77777777" w:rsidTr="002E6907">
        <w:trPr>
          <w:trHeight w:val="231"/>
        </w:trPr>
        <w:tc>
          <w:tcPr>
            <w:tcW w:w="13680" w:type="dxa"/>
            <w:gridSpan w:val="3"/>
            <w:shd w:val="clear" w:color="auto" w:fill="D9D9D9" w:themeFill="background1" w:themeFillShade="D9"/>
          </w:tcPr>
          <w:p w14:paraId="44CA29FE" w14:textId="0DEBBC82" w:rsidR="002E6907" w:rsidRPr="002E6907" w:rsidRDefault="002E6907" w:rsidP="002E6907">
            <w:pPr>
              <w:widowControl w:val="0"/>
              <w:spacing w:before="120" w:after="120"/>
              <w:ind w:left="335" w:right="158"/>
              <w:rPr>
                <w:rFonts w:ascii="Arial" w:hAnsi="Arial" w:cs="Arial"/>
                <w:i/>
                <w:iCs/>
                <w:sz w:val="20"/>
                <w:szCs w:val="20"/>
              </w:rPr>
            </w:pPr>
            <w:r w:rsidRPr="002E6907">
              <w:rPr>
                <w:rFonts w:ascii="Arial" w:hAnsi="Arial" w:cs="Arial"/>
                <w:i/>
                <w:iCs/>
                <w:sz w:val="20"/>
                <w:szCs w:val="20"/>
              </w:rPr>
              <w:t>Group 2</w:t>
            </w:r>
          </w:p>
        </w:tc>
      </w:tr>
      <w:tr w:rsidR="00C43AA5" w:rsidRPr="00C43AA5" w14:paraId="17BBF16F" w14:textId="77777777" w:rsidTr="00955BA0">
        <w:trPr>
          <w:trHeight w:val="231"/>
        </w:trPr>
        <w:tc>
          <w:tcPr>
            <w:tcW w:w="857" w:type="dxa"/>
            <w:shd w:val="clear" w:color="auto" w:fill="auto"/>
          </w:tcPr>
          <w:p w14:paraId="37ABD509" w14:textId="77777777" w:rsidR="00C43AA5" w:rsidRPr="00C43AA5" w:rsidRDefault="00C43AA5" w:rsidP="00C43AA5">
            <w:pPr>
              <w:widowControl w:val="0"/>
              <w:spacing w:before="120" w:after="120"/>
              <w:ind w:right="155"/>
              <w:jc w:val="center"/>
              <w:rPr>
                <w:rFonts w:ascii="Arial" w:hAnsi="Arial" w:cs="Arial"/>
                <w:sz w:val="20"/>
                <w:szCs w:val="20"/>
              </w:rPr>
            </w:pPr>
            <w:r w:rsidRPr="00C43AA5">
              <w:rPr>
                <w:rFonts w:ascii="Arial" w:hAnsi="Arial" w:cs="Arial"/>
                <w:sz w:val="20"/>
                <w:szCs w:val="20"/>
              </w:rPr>
              <w:t>7</w:t>
            </w:r>
          </w:p>
        </w:tc>
        <w:tc>
          <w:tcPr>
            <w:tcW w:w="6613" w:type="dxa"/>
          </w:tcPr>
          <w:p w14:paraId="7F8A4A6D" w14:textId="77777777" w:rsidR="00C43AA5" w:rsidRDefault="002E6907" w:rsidP="0068027E">
            <w:pPr>
              <w:widowControl w:val="0"/>
              <w:spacing w:before="120" w:after="120"/>
              <w:rPr>
                <w:rFonts w:ascii="Arial" w:hAnsi="Arial" w:cs="Arial"/>
                <w:sz w:val="20"/>
                <w:szCs w:val="20"/>
              </w:rPr>
            </w:pPr>
            <w:r>
              <w:rPr>
                <w:rFonts w:ascii="Arial" w:hAnsi="Arial" w:cs="Arial"/>
                <w:sz w:val="20"/>
                <w:szCs w:val="20"/>
              </w:rPr>
              <w:t>Block procurement</w:t>
            </w:r>
          </w:p>
          <w:p w14:paraId="5F510E5B" w14:textId="547DF60D" w:rsidR="004669D1" w:rsidRDefault="00D0155C" w:rsidP="0068027E">
            <w:pPr>
              <w:widowControl w:val="0"/>
              <w:spacing w:before="120" w:after="120"/>
              <w:rPr>
                <w:rFonts w:ascii="Arial" w:hAnsi="Arial" w:cs="Arial"/>
                <w:sz w:val="20"/>
                <w:szCs w:val="20"/>
              </w:rPr>
            </w:pPr>
            <w:r>
              <w:rPr>
                <w:rFonts w:ascii="Arial" w:hAnsi="Arial" w:cs="Arial"/>
                <w:sz w:val="20"/>
                <w:szCs w:val="20"/>
              </w:rPr>
              <w:t>P</w:t>
            </w:r>
            <w:r w:rsidR="004669D1">
              <w:rPr>
                <w:rFonts w:ascii="Arial" w:hAnsi="Arial" w:cs="Arial"/>
                <w:sz w:val="20"/>
                <w:szCs w:val="20"/>
              </w:rPr>
              <w:t>lease comment on whether block procurement or hourly procurement would maximize your participation in the OR markets.</w:t>
            </w:r>
          </w:p>
          <w:p w14:paraId="56188B7E" w14:textId="37DBBD76" w:rsidR="004669D1" w:rsidRPr="00C43AA5" w:rsidRDefault="004669D1" w:rsidP="0068027E">
            <w:pPr>
              <w:widowControl w:val="0"/>
              <w:spacing w:before="120" w:after="120"/>
              <w:rPr>
                <w:rFonts w:ascii="Arial" w:hAnsi="Arial" w:cs="Arial"/>
                <w:sz w:val="20"/>
                <w:szCs w:val="20"/>
              </w:rPr>
            </w:pPr>
            <w:r>
              <w:rPr>
                <w:rFonts w:ascii="Arial" w:hAnsi="Arial" w:cs="Arial"/>
                <w:sz w:val="20"/>
                <w:szCs w:val="20"/>
              </w:rPr>
              <w:t xml:space="preserve">Currently, </w:t>
            </w:r>
            <w:r w:rsidR="00E93CEF">
              <w:rPr>
                <w:rFonts w:ascii="Arial" w:hAnsi="Arial" w:cs="Arial"/>
                <w:sz w:val="20"/>
                <w:szCs w:val="20"/>
              </w:rPr>
              <w:t xml:space="preserve">in the day-ahead market, </w:t>
            </w:r>
            <w:r>
              <w:rPr>
                <w:rFonts w:ascii="Arial" w:hAnsi="Arial" w:cs="Arial"/>
                <w:sz w:val="20"/>
                <w:szCs w:val="20"/>
              </w:rPr>
              <w:t xml:space="preserve">super peak RR is procured after on and off peak RR. For all other reserves, time blocks are procured simultaneously. Do you believe that simultaneous procurement would </w:t>
            </w:r>
            <w:r>
              <w:rPr>
                <w:rFonts w:ascii="Arial" w:hAnsi="Arial" w:cs="Arial"/>
                <w:sz w:val="20"/>
                <w:szCs w:val="20"/>
              </w:rPr>
              <w:lastRenderedPageBreak/>
              <w:t>still be effective with hourly procurement? Are there alternatives the AESO should consider?</w:t>
            </w:r>
          </w:p>
        </w:tc>
        <w:tc>
          <w:tcPr>
            <w:tcW w:w="6210" w:type="dxa"/>
            <w:shd w:val="clear" w:color="auto" w:fill="auto"/>
          </w:tcPr>
          <w:p w14:paraId="06AC36B8" w14:textId="77777777" w:rsidR="00C43AA5" w:rsidRPr="00C43AA5" w:rsidRDefault="00C43AA5" w:rsidP="00C43AA5">
            <w:pPr>
              <w:widowControl w:val="0"/>
              <w:spacing w:before="120" w:after="120"/>
              <w:ind w:left="108"/>
              <w:rPr>
                <w:rFonts w:ascii="Arial" w:hAnsi="Arial" w:cs="Arial"/>
                <w:sz w:val="20"/>
                <w:szCs w:val="20"/>
              </w:rPr>
            </w:pPr>
          </w:p>
        </w:tc>
      </w:tr>
      <w:tr w:rsidR="0068027E" w:rsidRPr="00C43AA5" w14:paraId="65798B72" w14:textId="77777777" w:rsidTr="00955BA0">
        <w:trPr>
          <w:trHeight w:val="231"/>
        </w:trPr>
        <w:tc>
          <w:tcPr>
            <w:tcW w:w="857" w:type="dxa"/>
            <w:shd w:val="clear" w:color="auto" w:fill="auto"/>
          </w:tcPr>
          <w:p w14:paraId="61A0EC0D" w14:textId="1F8A1218" w:rsidR="0068027E" w:rsidRPr="00C43AA5" w:rsidRDefault="0068027E" w:rsidP="00C43AA5">
            <w:pPr>
              <w:widowControl w:val="0"/>
              <w:spacing w:before="120" w:after="120"/>
              <w:ind w:right="155"/>
              <w:jc w:val="center"/>
              <w:rPr>
                <w:rFonts w:ascii="Arial" w:hAnsi="Arial" w:cs="Arial"/>
                <w:sz w:val="20"/>
                <w:szCs w:val="20"/>
              </w:rPr>
            </w:pPr>
            <w:r>
              <w:rPr>
                <w:rFonts w:ascii="Arial" w:hAnsi="Arial" w:cs="Arial"/>
                <w:sz w:val="20"/>
                <w:szCs w:val="20"/>
              </w:rPr>
              <w:t>8</w:t>
            </w:r>
          </w:p>
        </w:tc>
        <w:tc>
          <w:tcPr>
            <w:tcW w:w="6613" w:type="dxa"/>
          </w:tcPr>
          <w:p w14:paraId="06D7733F" w14:textId="77777777" w:rsidR="004669D1" w:rsidRDefault="002E6907" w:rsidP="0068027E">
            <w:pPr>
              <w:keepNext/>
              <w:widowControl w:val="0"/>
              <w:spacing w:before="120" w:after="120"/>
              <w:ind w:right="158"/>
              <w:rPr>
                <w:rFonts w:ascii="Arial" w:hAnsi="Arial" w:cs="Arial"/>
                <w:sz w:val="20"/>
                <w:szCs w:val="20"/>
              </w:rPr>
            </w:pPr>
            <w:r>
              <w:rPr>
                <w:rFonts w:ascii="Arial" w:hAnsi="Arial" w:cs="Arial"/>
                <w:sz w:val="20"/>
                <w:szCs w:val="20"/>
              </w:rPr>
              <w:t>Contingency reserve procurement</w:t>
            </w:r>
          </w:p>
          <w:p w14:paraId="33BAF2B2" w14:textId="4449B6AA" w:rsidR="00620042" w:rsidRDefault="00620042" w:rsidP="0068027E">
            <w:pPr>
              <w:keepNext/>
              <w:widowControl w:val="0"/>
              <w:spacing w:before="120" w:after="120"/>
              <w:ind w:right="158"/>
              <w:rPr>
                <w:rFonts w:ascii="Arial" w:hAnsi="Arial" w:cs="Arial"/>
                <w:sz w:val="20"/>
                <w:szCs w:val="20"/>
              </w:rPr>
            </w:pPr>
            <w:r w:rsidRPr="00620042">
              <w:rPr>
                <w:rFonts w:ascii="Arial" w:hAnsi="Arial" w:cs="Arial"/>
                <w:sz w:val="20"/>
                <w:szCs w:val="20"/>
              </w:rPr>
              <w:t>Do you support the AESO’s proposed sequential alternative for contingency reserve procurement?</w:t>
            </w:r>
            <w:r w:rsidR="00E93CEF">
              <w:rPr>
                <w:rFonts w:ascii="Arial" w:hAnsi="Arial" w:cs="Arial"/>
                <w:sz w:val="20"/>
                <w:szCs w:val="20"/>
              </w:rPr>
              <w:t xml:space="preserve"> Are there other alternatives the AESO should consider?</w:t>
            </w:r>
          </w:p>
          <w:p w14:paraId="758CA45B" w14:textId="7BF65229" w:rsidR="00D33A4D" w:rsidRDefault="00D33A4D" w:rsidP="0068027E">
            <w:pPr>
              <w:keepNext/>
              <w:widowControl w:val="0"/>
              <w:spacing w:before="120" w:after="120"/>
              <w:ind w:right="158"/>
              <w:rPr>
                <w:rFonts w:ascii="Arial" w:hAnsi="Arial" w:cs="Arial"/>
                <w:sz w:val="20"/>
                <w:szCs w:val="20"/>
              </w:rPr>
            </w:pPr>
            <w:r>
              <w:rPr>
                <w:rFonts w:ascii="Arial" w:hAnsi="Arial" w:cs="Arial"/>
                <w:sz w:val="20"/>
                <w:szCs w:val="20"/>
              </w:rPr>
              <w:t xml:space="preserve">If the AESO were to pursue the proposed sequential alternative, are there </w:t>
            </w:r>
            <w:r w:rsidR="001E6FDC">
              <w:rPr>
                <w:rFonts w:ascii="Arial" w:hAnsi="Arial" w:cs="Arial"/>
                <w:sz w:val="20"/>
                <w:szCs w:val="20"/>
              </w:rPr>
              <w:t xml:space="preserve">any </w:t>
            </w:r>
            <w:r w:rsidR="00BC0821">
              <w:rPr>
                <w:rFonts w:ascii="Arial" w:hAnsi="Arial" w:cs="Arial"/>
                <w:sz w:val="20"/>
                <w:szCs w:val="20"/>
              </w:rPr>
              <w:t>new impacts or interactions the AESO should consider related to offer transparency</w:t>
            </w:r>
            <w:r>
              <w:rPr>
                <w:rFonts w:ascii="Arial" w:hAnsi="Arial" w:cs="Arial"/>
                <w:sz w:val="20"/>
                <w:szCs w:val="20"/>
              </w:rPr>
              <w:t>?</w:t>
            </w:r>
          </w:p>
        </w:tc>
        <w:tc>
          <w:tcPr>
            <w:tcW w:w="6210" w:type="dxa"/>
            <w:shd w:val="clear" w:color="auto" w:fill="auto"/>
          </w:tcPr>
          <w:p w14:paraId="2F8A3E01" w14:textId="77777777" w:rsidR="0068027E" w:rsidRPr="00C43AA5" w:rsidRDefault="0068027E" w:rsidP="00C43AA5">
            <w:pPr>
              <w:widowControl w:val="0"/>
              <w:spacing w:before="120" w:after="120"/>
              <w:ind w:left="108"/>
              <w:rPr>
                <w:rFonts w:ascii="Arial" w:hAnsi="Arial" w:cs="Arial"/>
                <w:sz w:val="20"/>
                <w:szCs w:val="20"/>
              </w:rPr>
            </w:pPr>
          </w:p>
        </w:tc>
      </w:tr>
      <w:tr w:rsidR="0068027E" w:rsidRPr="00C43AA5" w14:paraId="141BA202" w14:textId="77777777" w:rsidTr="00955BA0">
        <w:trPr>
          <w:trHeight w:val="231"/>
        </w:trPr>
        <w:tc>
          <w:tcPr>
            <w:tcW w:w="857" w:type="dxa"/>
            <w:shd w:val="clear" w:color="auto" w:fill="auto"/>
          </w:tcPr>
          <w:p w14:paraId="7065264A" w14:textId="0EE4F179" w:rsidR="0068027E" w:rsidRPr="00C43AA5" w:rsidRDefault="0068027E" w:rsidP="00C43AA5">
            <w:pPr>
              <w:widowControl w:val="0"/>
              <w:spacing w:before="120" w:after="120"/>
              <w:ind w:right="155"/>
              <w:jc w:val="center"/>
              <w:rPr>
                <w:rFonts w:ascii="Arial" w:hAnsi="Arial" w:cs="Arial"/>
                <w:sz w:val="20"/>
                <w:szCs w:val="20"/>
              </w:rPr>
            </w:pPr>
            <w:r>
              <w:rPr>
                <w:rFonts w:ascii="Arial" w:hAnsi="Arial" w:cs="Arial"/>
                <w:sz w:val="20"/>
                <w:szCs w:val="20"/>
              </w:rPr>
              <w:t>9</w:t>
            </w:r>
          </w:p>
        </w:tc>
        <w:tc>
          <w:tcPr>
            <w:tcW w:w="6613" w:type="dxa"/>
          </w:tcPr>
          <w:p w14:paraId="4C0860E4" w14:textId="77777777" w:rsidR="0068027E" w:rsidRDefault="002E6907" w:rsidP="0068027E">
            <w:pPr>
              <w:keepNext/>
              <w:widowControl w:val="0"/>
              <w:spacing w:before="120" w:after="120"/>
              <w:ind w:right="158"/>
              <w:rPr>
                <w:rFonts w:ascii="Arial" w:hAnsi="Arial" w:cs="Arial"/>
                <w:sz w:val="20"/>
                <w:szCs w:val="20"/>
              </w:rPr>
            </w:pPr>
            <w:r>
              <w:rPr>
                <w:rFonts w:ascii="Arial" w:hAnsi="Arial" w:cs="Arial"/>
                <w:sz w:val="20"/>
                <w:szCs w:val="20"/>
              </w:rPr>
              <w:t>Standby reserves pricing and procurement</w:t>
            </w:r>
          </w:p>
          <w:p w14:paraId="69DA96F1" w14:textId="1B305EF2" w:rsidR="00E93CEF" w:rsidRDefault="00E93CEF" w:rsidP="0068027E">
            <w:pPr>
              <w:keepNext/>
              <w:widowControl w:val="0"/>
              <w:spacing w:before="120" w:after="120"/>
              <w:ind w:right="158"/>
              <w:rPr>
                <w:rFonts w:ascii="Arial" w:hAnsi="Arial" w:cs="Arial"/>
                <w:sz w:val="20"/>
                <w:szCs w:val="20"/>
              </w:rPr>
            </w:pPr>
            <w:r>
              <w:rPr>
                <w:rFonts w:ascii="Arial" w:hAnsi="Arial" w:cs="Arial"/>
                <w:sz w:val="20"/>
                <w:szCs w:val="20"/>
              </w:rPr>
              <w:t>Do you support one or both of the AESO’s proposed alternatives, which are described in more detail above? Are there other alternatives the AESO should consider?</w:t>
            </w:r>
          </w:p>
          <w:p w14:paraId="69497554" w14:textId="4CFA7E84" w:rsidR="0072133D" w:rsidRDefault="0072133D" w:rsidP="0068027E">
            <w:pPr>
              <w:keepNext/>
              <w:widowControl w:val="0"/>
              <w:spacing w:before="120" w:after="120"/>
              <w:ind w:right="158"/>
              <w:rPr>
                <w:rFonts w:ascii="Arial" w:hAnsi="Arial" w:cs="Arial"/>
                <w:sz w:val="20"/>
                <w:szCs w:val="20"/>
              </w:rPr>
            </w:pPr>
            <w:r>
              <w:rPr>
                <w:rFonts w:ascii="Arial" w:hAnsi="Arial" w:cs="Arial"/>
                <w:sz w:val="20"/>
                <w:szCs w:val="20"/>
              </w:rPr>
              <w:t>Are there direct or opportunity costs associated with providing standby reserves that have not been activated (</w:t>
            </w:r>
            <w:r w:rsidR="008B6533">
              <w:rPr>
                <w:rFonts w:ascii="Arial" w:hAnsi="Arial" w:cs="Arial"/>
                <w:sz w:val="20"/>
                <w:szCs w:val="20"/>
              </w:rPr>
              <w:t>i.e</w:t>
            </w:r>
            <w:r w:rsidR="00D0155C">
              <w:rPr>
                <w:rFonts w:ascii="Arial" w:hAnsi="Arial" w:cs="Arial"/>
                <w:sz w:val="20"/>
                <w:szCs w:val="20"/>
              </w:rPr>
              <w:t xml:space="preserve">., </w:t>
            </w:r>
            <w:r>
              <w:rPr>
                <w:rFonts w:ascii="Arial" w:hAnsi="Arial" w:cs="Arial"/>
                <w:sz w:val="20"/>
                <w:szCs w:val="20"/>
              </w:rPr>
              <w:t>the reserve provider can still participate in the energy market)?</w:t>
            </w:r>
          </w:p>
          <w:p w14:paraId="737ADD84" w14:textId="177779BD" w:rsidR="00E93CEF" w:rsidRDefault="00E93CEF" w:rsidP="0068027E">
            <w:pPr>
              <w:keepNext/>
              <w:widowControl w:val="0"/>
              <w:spacing w:before="120" w:after="120"/>
              <w:ind w:right="158"/>
              <w:rPr>
                <w:rFonts w:ascii="Arial" w:hAnsi="Arial" w:cs="Arial"/>
                <w:sz w:val="20"/>
                <w:szCs w:val="20"/>
              </w:rPr>
            </w:pPr>
            <w:r>
              <w:rPr>
                <w:rFonts w:ascii="Arial" w:hAnsi="Arial" w:cs="Arial"/>
                <w:sz w:val="20"/>
                <w:szCs w:val="20"/>
              </w:rPr>
              <w:t>Are there any other considerations related to the premium price that can aid in comparing alternatives 1 and 2?</w:t>
            </w:r>
          </w:p>
        </w:tc>
        <w:tc>
          <w:tcPr>
            <w:tcW w:w="6210" w:type="dxa"/>
            <w:shd w:val="clear" w:color="auto" w:fill="auto"/>
          </w:tcPr>
          <w:p w14:paraId="4B90FBE0" w14:textId="77777777" w:rsidR="0068027E" w:rsidRPr="00C43AA5" w:rsidRDefault="0068027E" w:rsidP="00C43AA5">
            <w:pPr>
              <w:widowControl w:val="0"/>
              <w:spacing w:before="120" w:after="120"/>
              <w:ind w:left="108"/>
              <w:rPr>
                <w:rFonts w:ascii="Arial" w:hAnsi="Arial" w:cs="Arial"/>
                <w:sz w:val="20"/>
                <w:szCs w:val="20"/>
              </w:rPr>
            </w:pPr>
          </w:p>
        </w:tc>
      </w:tr>
      <w:bookmarkEnd w:id="3"/>
    </w:tbl>
    <w:p w14:paraId="10750D22" w14:textId="77777777" w:rsidR="00C43AA5" w:rsidRDefault="00C43AA5" w:rsidP="00C43AA5">
      <w:pPr>
        <w:pStyle w:val="ListParagraph"/>
        <w:widowControl w:val="0"/>
        <w:spacing w:before="120" w:after="120"/>
        <w:ind w:left="-90"/>
        <w:contextualSpacing/>
        <w:rPr>
          <w:rFonts w:ascii="Arial" w:hAnsi="Arial" w:cs="Arial"/>
          <w:sz w:val="20"/>
          <w:szCs w:val="20"/>
        </w:rPr>
      </w:pPr>
    </w:p>
    <w:sectPr w:rsidR="00C43AA5">
      <w:headerReference w:type="default" r:id="rId15"/>
      <w:footerReference w:type="default" r:id="rId16"/>
      <w:headerReference w:type="first" r:id="rId17"/>
      <w:footerReference w:type="first" r:id="rId18"/>
      <w:pgSz w:w="15840" w:h="12240" w:orient="landscape" w:code="1"/>
      <w:pgMar w:top="1890" w:right="720" w:bottom="1260"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A372B" w14:textId="77777777" w:rsidR="00A8561F" w:rsidRDefault="00A8561F">
      <w:r>
        <w:separator/>
      </w:r>
    </w:p>
  </w:endnote>
  <w:endnote w:type="continuationSeparator" w:id="0">
    <w:p w14:paraId="108B310F" w14:textId="77777777" w:rsidR="00A8561F" w:rsidRDefault="00A8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C559" w14:textId="10D23656" w:rsidR="0029211D" w:rsidRDefault="004A7F33">
    <w:pPr>
      <w:pStyle w:val="Footer"/>
      <w:tabs>
        <w:tab w:val="clear" w:pos="4320"/>
        <w:tab w:val="clear" w:pos="8640"/>
        <w:tab w:val="center" w:pos="6480"/>
        <w:tab w:val="right" w:pos="13590"/>
        <w:tab w:val="right" w:pos="17280"/>
      </w:tabs>
      <w:ind w:left="-720"/>
      <w:rPr>
        <w:rFonts w:ascii="Arial" w:hAnsi="Arial" w:cs="Arial"/>
        <w:sz w:val="18"/>
        <w:szCs w:val="18"/>
      </w:rPr>
    </w:pPr>
    <w:r>
      <w:rPr>
        <w:rFonts w:ascii="Arial" w:hAnsi="Arial" w:cs="Arial"/>
        <w:sz w:val="18"/>
        <w:szCs w:val="18"/>
      </w:rPr>
      <w:t xml:space="preserve">Issued for Stakeholder </w:t>
    </w:r>
    <w:r w:rsidRPr="00712E95">
      <w:rPr>
        <w:rFonts w:ascii="Arial" w:hAnsi="Arial" w:cs="Arial"/>
        <w:sz w:val="18"/>
        <w:szCs w:val="18"/>
      </w:rPr>
      <w:t xml:space="preserve">Comment: </w:t>
    </w:r>
    <w:r w:rsidR="00712E95" w:rsidRPr="00712E95">
      <w:rPr>
        <w:rFonts w:ascii="Arial" w:hAnsi="Arial" w:cs="Arial"/>
        <w:sz w:val="18"/>
        <w:szCs w:val="18"/>
      </w:rPr>
      <w:t>2022-04-12</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C55F" w14:textId="77777777" w:rsidR="0029211D" w:rsidRDefault="004A7F33">
    <w:pPr>
      <w:pStyle w:val="Footer"/>
      <w:tabs>
        <w:tab w:val="clear" w:pos="4320"/>
        <w:tab w:val="clear" w:pos="8640"/>
        <w:tab w:val="center" w:pos="6480"/>
        <w:tab w:val="right" w:pos="13500"/>
        <w:tab w:val="right" w:pos="17280"/>
      </w:tabs>
      <w:ind w:left="-720"/>
      <w:rPr>
        <w:rFonts w:ascii="Arial" w:hAnsi="Arial" w:cs="Arial"/>
        <w:sz w:val="18"/>
        <w:szCs w:val="18"/>
      </w:rPr>
    </w:pPr>
    <w:r>
      <w:rPr>
        <w:rFonts w:ascii="Arial" w:hAnsi="Arial" w:cs="Arial"/>
        <w:sz w:val="18"/>
        <w:szCs w:val="18"/>
      </w:rPr>
      <w:t xml:space="preserve">Issued for Stakeholder Comment: </w:t>
    </w:r>
    <w:r>
      <w:rPr>
        <w:rFonts w:ascii="Arial" w:hAnsi="Arial" w:cs="Arial"/>
        <w:sz w:val="18"/>
        <w:szCs w:val="18"/>
        <w:highlight w:val="yellow"/>
      </w:rPr>
      <w:t>MM DD, YYYY</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ab/>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2B1D4" w14:textId="77777777" w:rsidR="00A8561F" w:rsidRDefault="00A8561F">
      <w:r>
        <w:separator/>
      </w:r>
    </w:p>
  </w:footnote>
  <w:footnote w:type="continuationSeparator" w:id="0">
    <w:p w14:paraId="52AA4FE2" w14:textId="77777777" w:rsidR="00A8561F" w:rsidRDefault="00A8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C556" w14:textId="77777777" w:rsidR="0029211D" w:rsidRDefault="004A7F33">
    <w:pPr>
      <w:pStyle w:val="Header"/>
      <w:jc w:val="right"/>
    </w:pPr>
    <w:r>
      <w:rPr>
        <w:rFonts w:ascii="Arial" w:hAnsi="Arial"/>
        <w:noProof/>
      </w:rPr>
      <w:drawing>
        <wp:anchor distT="0" distB="0" distL="114300" distR="114300" simplePos="0" relativeHeight="251716096" behindDoc="1" locked="0" layoutInCell="1" allowOverlap="1" wp14:anchorId="4BCBC560" wp14:editId="4BCBC561">
          <wp:simplePos x="0" y="0"/>
          <wp:positionH relativeFrom="page">
            <wp:posOffset>-17145</wp:posOffset>
          </wp:positionH>
          <wp:positionV relativeFrom="page">
            <wp:posOffset>23495</wp:posOffset>
          </wp:positionV>
          <wp:extent cx="10058400" cy="1255395"/>
          <wp:effectExtent l="0" t="0" r="0" b="190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90BD7" w14:textId="4552B40D" w:rsidR="00676C96" w:rsidRDefault="004A7F33" w:rsidP="00676C96">
    <w:pPr>
      <w:pStyle w:val="Header"/>
      <w:rPr>
        <w:rFonts w:ascii="Arial" w:hAnsi="Arial"/>
        <w:b/>
        <w:bCs/>
        <w:color w:val="1F497D"/>
        <w:sz w:val="22"/>
        <w:szCs w:val="22"/>
      </w:rPr>
    </w:pPr>
    <w:r>
      <w:rPr>
        <w:rFonts w:ascii="Arial" w:hAnsi="Arial"/>
        <w:b/>
        <w:color w:val="1F497D"/>
        <w:sz w:val="22"/>
        <w:szCs w:val="22"/>
      </w:rPr>
      <w:t xml:space="preserve">Stakeholder Comment Matrix – </w:t>
    </w:r>
    <w:r w:rsidR="00C44B18" w:rsidRPr="00712E95">
      <w:rPr>
        <w:rFonts w:ascii="Arial" w:hAnsi="Arial"/>
        <w:b/>
        <w:color w:val="1F497D"/>
        <w:sz w:val="22"/>
        <w:szCs w:val="22"/>
      </w:rPr>
      <w:t>April 12, 2022</w:t>
    </w:r>
    <w:r>
      <w:rPr>
        <w:rFonts w:ascii="Arial" w:hAnsi="Arial"/>
        <w:b/>
        <w:color w:val="1F497D"/>
        <w:sz w:val="22"/>
        <w:szCs w:val="22"/>
      </w:rPr>
      <w:br/>
    </w:r>
    <w:r>
      <w:rPr>
        <w:rFonts w:ascii="Arial" w:hAnsi="Arial"/>
        <w:b/>
        <w:bCs/>
        <w:color w:val="1F497D"/>
        <w:sz w:val="22"/>
        <w:szCs w:val="22"/>
      </w:rPr>
      <w:t xml:space="preserve">Additional Feedback from </w:t>
    </w:r>
    <w:r w:rsidR="00676C96" w:rsidRPr="00676C96">
      <w:rPr>
        <w:rFonts w:ascii="Arial" w:hAnsi="Arial"/>
        <w:b/>
        <w:bCs/>
        <w:color w:val="1F497D"/>
        <w:sz w:val="22"/>
        <w:szCs w:val="22"/>
      </w:rPr>
      <w:t xml:space="preserve">Stakeholder Consultation Session </w:t>
    </w:r>
    <w:r w:rsidR="00C44B18">
      <w:rPr>
        <w:rFonts w:ascii="Arial" w:hAnsi="Arial"/>
        <w:b/>
        <w:bCs/>
        <w:color w:val="1F497D"/>
        <w:sz w:val="22"/>
        <w:szCs w:val="22"/>
      </w:rPr>
      <w:t xml:space="preserve">2 </w:t>
    </w:r>
    <w:r w:rsidR="00676C96" w:rsidRPr="00676C96">
      <w:rPr>
        <w:rFonts w:ascii="Arial" w:hAnsi="Arial"/>
        <w:b/>
        <w:bCs/>
        <w:color w:val="1F497D"/>
        <w:sz w:val="22"/>
        <w:szCs w:val="22"/>
      </w:rPr>
      <w:t xml:space="preserve">on the on the </w:t>
    </w:r>
    <w:bookmarkStart w:id="4" w:name="_Hlk88040270"/>
    <w:r w:rsidR="00676C96" w:rsidRPr="00676C96">
      <w:rPr>
        <w:rFonts w:ascii="Arial" w:hAnsi="Arial"/>
        <w:b/>
        <w:bCs/>
        <w:color w:val="1F497D"/>
        <w:sz w:val="22"/>
        <w:szCs w:val="22"/>
      </w:rPr>
      <w:t>Operating Reserve</w:t>
    </w:r>
  </w:p>
  <w:p w14:paraId="4BCBC558" w14:textId="486C4FAA" w:rsidR="0029211D" w:rsidRPr="00676C96" w:rsidRDefault="00676C96" w:rsidP="00676C96">
    <w:pPr>
      <w:pStyle w:val="Header"/>
      <w:rPr>
        <w:rFonts w:ascii="Arial" w:hAnsi="Arial"/>
        <w:b/>
        <w:bCs/>
        <w:color w:val="1F497D"/>
        <w:sz w:val="22"/>
        <w:szCs w:val="22"/>
      </w:rPr>
    </w:pPr>
    <w:r w:rsidRPr="00676C96">
      <w:rPr>
        <w:rFonts w:ascii="Arial" w:hAnsi="Arial"/>
        <w:b/>
        <w:bCs/>
        <w:color w:val="1F497D"/>
        <w:sz w:val="22"/>
        <w:szCs w:val="22"/>
      </w:rPr>
      <w:t xml:space="preserve">Market Review </w:t>
    </w:r>
    <w:bookmarkEnd w:id="4"/>
    <w:r w:rsidRPr="00676C96">
      <w:rPr>
        <w:rFonts w:ascii="Arial" w:hAnsi="Arial"/>
        <w:b/>
        <w:bCs/>
        <w:color w:val="1F497D"/>
        <w:sz w:val="22"/>
        <w:szCs w:val="22"/>
      </w:rPr>
      <w:t>(“Operating Reserve Market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ook w:val="04A0" w:firstRow="1" w:lastRow="0" w:firstColumn="1" w:lastColumn="0" w:noHBand="0" w:noVBand="1"/>
    </w:tblPr>
    <w:tblGrid>
      <w:gridCol w:w="10890"/>
    </w:tblGrid>
    <w:tr w:rsidR="0029211D" w14:paraId="4BCBC55C" w14:textId="77777777">
      <w:trPr>
        <w:trHeight w:val="1440"/>
      </w:trPr>
      <w:tc>
        <w:tcPr>
          <w:tcW w:w="10890" w:type="dxa"/>
          <w:shd w:val="clear" w:color="auto" w:fill="auto"/>
          <w:vAlign w:val="bottom"/>
        </w:tcPr>
        <w:p w14:paraId="4BCBC55A" w14:textId="77777777" w:rsidR="0029211D" w:rsidRDefault="004A7F33">
          <w:pPr>
            <w:pStyle w:val="Title"/>
            <w:tabs>
              <w:tab w:val="clear" w:pos="0"/>
              <w:tab w:val="left" w:pos="-90"/>
            </w:tabs>
            <w:spacing w:before="240" w:after="240"/>
            <w:ind w:left="-90"/>
            <w:rPr>
              <w:rFonts w:ascii="Arial" w:hAnsi="Arial"/>
              <w:b/>
              <w:color w:val="1F497D"/>
              <w:sz w:val="22"/>
              <w:szCs w:val="22"/>
            </w:rPr>
          </w:pPr>
          <w:r>
            <w:rPr>
              <w:rFonts w:ascii="Arial" w:hAnsi="Arial"/>
              <w:noProof/>
            </w:rPr>
            <w:drawing>
              <wp:anchor distT="0" distB="0" distL="114300" distR="114300" simplePos="0" relativeHeight="251657216" behindDoc="1" locked="0" layoutInCell="1" allowOverlap="1" wp14:anchorId="4BCBC562" wp14:editId="4BCBC563">
                <wp:simplePos x="0" y="0"/>
                <wp:positionH relativeFrom="page">
                  <wp:posOffset>-819150</wp:posOffset>
                </wp:positionH>
                <wp:positionV relativeFrom="page">
                  <wp:posOffset>-237490</wp:posOffset>
                </wp:positionV>
                <wp:extent cx="10058400" cy="1255395"/>
                <wp:effectExtent l="0" t="0" r="0" b="1905"/>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0"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color w:val="1F497D"/>
              <w:sz w:val="22"/>
              <w:szCs w:val="22"/>
            </w:rPr>
            <w:t xml:space="preserve">Stakeholder Comment Matrix – </w:t>
          </w:r>
          <w:r>
            <w:rPr>
              <w:rFonts w:ascii="Arial" w:hAnsi="Arial"/>
              <w:b/>
              <w:color w:val="1F497D"/>
              <w:sz w:val="22"/>
              <w:szCs w:val="22"/>
              <w:highlight w:val="yellow"/>
            </w:rPr>
            <w:t>[Insert Consultation Date from Letter of Notice]</w:t>
          </w:r>
        </w:p>
        <w:p w14:paraId="4BCBC55B" w14:textId="77777777" w:rsidR="0029211D" w:rsidRDefault="004A7F33">
          <w:pPr>
            <w:pStyle w:val="Title"/>
            <w:tabs>
              <w:tab w:val="clear" w:pos="0"/>
              <w:tab w:val="left" w:pos="-90"/>
            </w:tabs>
            <w:spacing w:before="240" w:after="240"/>
            <w:ind w:left="-90"/>
            <w:rPr>
              <w:rFonts w:ascii="Arial" w:hAnsi="Arial"/>
              <w:b/>
              <w:color w:val="1F497D"/>
            </w:rPr>
          </w:pPr>
          <w:r>
            <w:rPr>
              <w:rFonts w:ascii="Arial" w:hAnsi="Arial"/>
              <w:b/>
              <w:color w:val="1F497D"/>
              <w:sz w:val="22"/>
              <w:szCs w:val="22"/>
            </w:rPr>
            <w:t xml:space="preserve">Development of a Proposed </w:t>
          </w:r>
          <w:r>
            <w:rPr>
              <w:rFonts w:ascii="Arial" w:hAnsi="Arial"/>
              <w:b/>
              <w:color w:val="1F497D"/>
              <w:sz w:val="22"/>
              <w:szCs w:val="22"/>
              <w:highlight w:val="yellow"/>
            </w:rPr>
            <w:t>New/Amended ISO rule [Insert Consultation Name]</w:t>
          </w:r>
        </w:p>
      </w:tc>
    </w:tr>
  </w:tbl>
  <w:p w14:paraId="4BCBC55D" w14:textId="77777777" w:rsidR="0029211D" w:rsidRDefault="004A7F33">
    <w:pPr>
      <w:rPr>
        <w:color w:val="1F497D"/>
        <w:sz w:val="12"/>
        <w:szCs w:val="12"/>
      </w:rPr>
    </w:pPr>
    <w:r>
      <w:rPr>
        <w:color w:val="1F497D"/>
        <w:sz w:val="12"/>
        <w:szCs w:val="12"/>
      </w:rPr>
      <w:fldChar w:fldCharType="begin"/>
    </w:r>
    <w:r>
      <w:rPr>
        <w:color w:val="1F497D"/>
        <w:sz w:val="12"/>
        <w:szCs w:val="12"/>
      </w:rPr>
      <w:instrText xml:space="preserve"> COMMENTS  \* Caps  \* MERGEFORMAT </w:instrText>
    </w:r>
    <w:r>
      <w:rPr>
        <w:color w:val="1F497D"/>
        <w:sz w:val="12"/>
        <w:szCs w:val="12"/>
      </w:rPr>
      <w:fldChar w:fldCharType="end"/>
    </w:r>
  </w:p>
  <w:p w14:paraId="4BCBC55E" w14:textId="77777777" w:rsidR="0029211D" w:rsidRDefault="0029211D">
    <w:pPr>
      <w:rPr>
        <w:color w:val="1F497D"/>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538E"/>
    <w:multiLevelType w:val="hybridMultilevel"/>
    <w:tmpl w:val="8BCA2CC6"/>
    <w:lvl w:ilvl="0" w:tplc="F9B056B0">
      <w:start w:val="4"/>
      <w:numFmt w:val="lowerLetter"/>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46B1"/>
    <w:multiLevelType w:val="hybridMultilevel"/>
    <w:tmpl w:val="B874EA8A"/>
    <w:lvl w:ilvl="0" w:tplc="349A53F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687C"/>
    <w:multiLevelType w:val="hybridMultilevel"/>
    <w:tmpl w:val="5220174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2316CB3"/>
    <w:multiLevelType w:val="hybridMultilevel"/>
    <w:tmpl w:val="ADB0A38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23E6C4C"/>
    <w:multiLevelType w:val="multilevel"/>
    <w:tmpl w:val="BE960B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3EC3CAA"/>
    <w:multiLevelType w:val="hybridMultilevel"/>
    <w:tmpl w:val="9502E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305691"/>
    <w:multiLevelType w:val="multilevel"/>
    <w:tmpl w:val="22580498"/>
    <w:lvl w:ilvl="0">
      <w:start w:val="1"/>
      <w:numFmt w:val="decimal"/>
      <w:lvlText w:val="%1."/>
      <w:lvlJc w:val="left"/>
      <w:pPr>
        <w:ind w:left="720" w:hanging="360"/>
      </w:pPr>
      <w:rPr>
        <w:rFonts w:ascii="Arial" w:eastAsia="Times New Roman" w:hAnsi="Arial" w:cs="Arial"/>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4F6539"/>
    <w:multiLevelType w:val="hybridMultilevel"/>
    <w:tmpl w:val="22580498"/>
    <w:lvl w:ilvl="0" w:tplc="9D0415EC">
      <w:start w:val="1"/>
      <w:numFmt w:val="decimal"/>
      <w:lvlText w:val="%1."/>
      <w:lvlJc w:val="left"/>
      <w:pPr>
        <w:ind w:left="720" w:hanging="360"/>
      </w:pPr>
      <w:rPr>
        <w:rFonts w:ascii="Arial" w:eastAsia="Times New Roman"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B5C58"/>
    <w:multiLevelType w:val="hybridMultilevel"/>
    <w:tmpl w:val="3B802272"/>
    <w:lvl w:ilvl="0" w:tplc="94A613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02497B"/>
    <w:multiLevelType w:val="hybridMultilevel"/>
    <w:tmpl w:val="8F46F1EC"/>
    <w:lvl w:ilvl="0" w:tplc="97A87E32">
      <w:start w:val="2"/>
      <w:numFmt w:val="lowerLetter"/>
      <w:lvlText w:val="(%1)"/>
      <w:lvlJc w:val="left"/>
      <w:pPr>
        <w:tabs>
          <w:tab w:val="num" w:pos="900"/>
        </w:tabs>
        <w:ind w:left="90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2268D"/>
    <w:multiLevelType w:val="hybridMultilevel"/>
    <w:tmpl w:val="BE706A9C"/>
    <w:lvl w:ilvl="0" w:tplc="3ABA83E2">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6C520C"/>
    <w:multiLevelType w:val="hybridMultilevel"/>
    <w:tmpl w:val="699E342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 w15:restartNumberingAfterBreak="0">
    <w:nsid w:val="42766876"/>
    <w:multiLevelType w:val="hybridMultilevel"/>
    <w:tmpl w:val="711EEA2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7D52A5"/>
    <w:multiLevelType w:val="hybridMultilevel"/>
    <w:tmpl w:val="8CF412E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43B5986"/>
    <w:multiLevelType w:val="multilevel"/>
    <w:tmpl w:val="3B8022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8860DAB"/>
    <w:multiLevelType w:val="hybridMultilevel"/>
    <w:tmpl w:val="1244340A"/>
    <w:lvl w:ilvl="0" w:tplc="F112E9A6">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24552D"/>
    <w:multiLevelType w:val="multilevel"/>
    <w:tmpl w:val="C4FA3940"/>
    <w:lvl w:ilvl="0">
      <w:start w:val="9"/>
      <w:numFmt w:val="decimal"/>
      <w:lvlText w:val="%1"/>
      <w:lvlJc w:val="left"/>
      <w:pPr>
        <w:ind w:left="435" w:hanging="435"/>
      </w:pPr>
      <w:rPr>
        <w:rFonts w:hint="default"/>
      </w:rPr>
    </w:lvl>
    <w:lvl w:ilvl="1">
      <w:start w:val="2"/>
      <w:numFmt w:val="decimal"/>
      <w:lvlText w:val="%1.%2"/>
      <w:lvlJc w:val="left"/>
      <w:pPr>
        <w:ind w:left="525" w:hanging="435"/>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7" w15:restartNumberingAfterBreak="0">
    <w:nsid w:val="541033EA"/>
    <w:multiLevelType w:val="hybridMultilevel"/>
    <w:tmpl w:val="00A4FB74"/>
    <w:lvl w:ilvl="0" w:tplc="82B2901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C102A40"/>
    <w:multiLevelType w:val="hybridMultilevel"/>
    <w:tmpl w:val="B030B7A2"/>
    <w:lvl w:ilvl="0" w:tplc="512EAD44">
      <w:start w:val="1"/>
      <w:numFmt w:val="bullet"/>
      <w:lvlText w:val=""/>
      <w:lvlJc w:val="left"/>
      <w:pPr>
        <w:ind w:left="1055" w:hanging="360"/>
      </w:pPr>
      <w:rPr>
        <w:rFonts w:ascii="Symbol" w:hAnsi="Symbol" w:hint="default"/>
        <w:color w:val="FFFFFF" w:themeColor="background1"/>
      </w:rPr>
    </w:lvl>
    <w:lvl w:ilvl="1" w:tplc="10090003" w:tentative="1">
      <w:start w:val="1"/>
      <w:numFmt w:val="bullet"/>
      <w:lvlText w:val="o"/>
      <w:lvlJc w:val="left"/>
      <w:pPr>
        <w:ind w:left="1775" w:hanging="360"/>
      </w:pPr>
      <w:rPr>
        <w:rFonts w:ascii="Courier New" w:hAnsi="Courier New" w:cs="Courier New" w:hint="default"/>
      </w:rPr>
    </w:lvl>
    <w:lvl w:ilvl="2" w:tplc="10090005" w:tentative="1">
      <w:start w:val="1"/>
      <w:numFmt w:val="bullet"/>
      <w:lvlText w:val=""/>
      <w:lvlJc w:val="left"/>
      <w:pPr>
        <w:ind w:left="2495" w:hanging="360"/>
      </w:pPr>
      <w:rPr>
        <w:rFonts w:ascii="Wingdings" w:hAnsi="Wingdings" w:hint="default"/>
      </w:rPr>
    </w:lvl>
    <w:lvl w:ilvl="3" w:tplc="10090001" w:tentative="1">
      <w:start w:val="1"/>
      <w:numFmt w:val="bullet"/>
      <w:lvlText w:val=""/>
      <w:lvlJc w:val="left"/>
      <w:pPr>
        <w:ind w:left="3215" w:hanging="360"/>
      </w:pPr>
      <w:rPr>
        <w:rFonts w:ascii="Symbol" w:hAnsi="Symbol" w:hint="default"/>
      </w:rPr>
    </w:lvl>
    <w:lvl w:ilvl="4" w:tplc="10090003" w:tentative="1">
      <w:start w:val="1"/>
      <w:numFmt w:val="bullet"/>
      <w:lvlText w:val="o"/>
      <w:lvlJc w:val="left"/>
      <w:pPr>
        <w:ind w:left="3935" w:hanging="360"/>
      </w:pPr>
      <w:rPr>
        <w:rFonts w:ascii="Courier New" w:hAnsi="Courier New" w:cs="Courier New" w:hint="default"/>
      </w:rPr>
    </w:lvl>
    <w:lvl w:ilvl="5" w:tplc="10090005" w:tentative="1">
      <w:start w:val="1"/>
      <w:numFmt w:val="bullet"/>
      <w:lvlText w:val=""/>
      <w:lvlJc w:val="left"/>
      <w:pPr>
        <w:ind w:left="4655" w:hanging="360"/>
      </w:pPr>
      <w:rPr>
        <w:rFonts w:ascii="Wingdings" w:hAnsi="Wingdings" w:hint="default"/>
      </w:rPr>
    </w:lvl>
    <w:lvl w:ilvl="6" w:tplc="10090001" w:tentative="1">
      <w:start w:val="1"/>
      <w:numFmt w:val="bullet"/>
      <w:lvlText w:val=""/>
      <w:lvlJc w:val="left"/>
      <w:pPr>
        <w:ind w:left="5375" w:hanging="360"/>
      </w:pPr>
      <w:rPr>
        <w:rFonts w:ascii="Symbol" w:hAnsi="Symbol" w:hint="default"/>
      </w:rPr>
    </w:lvl>
    <w:lvl w:ilvl="7" w:tplc="10090003" w:tentative="1">
      <w:start w:val="1"/>
      <w:numFmt w:val="bullet"/>
      <w:lvlText w:val="o"/>
      <w:lvlJc w:val="left"/>
      <w:pPr>
        <w:ind w:left="6095" w:hanging="360"/>
      </w:pPr>
      <w:rPr>
        <w:rFonts w:ascii="Courier New" w:hAnsi="Courier New" w:cs="Courier New" w:hint="default"/>
      </w:rPr>
    </w:lvl>
    <w:lvl w:ilvl="8" w:tplc="10090005" w:tentative="1">
      <w:start w:val="1"/>
      <w:numFmt w:val="bullet"/>
      <w:lvlText w:val=""/>
      <w:lvlJc w:val="left"/>
      <w:pPr>
        <w:ind w:left="6815" w:hanging="360"/>
      </w:pPr>
      <w:rPr>
        <w:rFonts w:ascii="Wingdings" w:hAnsi="Wingdings" w:hint="default"/>
      </w:rPr>
    </w:lvl>
  </w:abstractNum>
  <w:abstractNum w:abstractNumId="19" w15:restartNumberingAfterBreak="0">
    <w:nsid w:val="6F624F7C"/>
    <w:multiLevelType w:val="hybridMultilevel"/>
    <w:tmpl w:val="36629E6A"/>
    <w:lvl w:ilvl="0" w:tplc="04090001">
      <w:start w:val="1"/>
      <w:numFmt w:val="bullet"/>
      <w:lvlText w:val=""/>
      <w:lvlJc w:val="left"/>
      <w:pPr>
        <w:ind w:left="1055" w:hanging="360"/>
      </w:pPr>
      <w:rPr>
        <w:rFonts w:ascii="Symbol" w:hAnsi="Symbol" w:hint="default"/>
        <w:color w:val="FFFFFF" w:themeColor="background1"/>
      </w:rPr>
    </w:lvl>
    <w:lvl w:ilvl="1" w:tplc="10090003" w:tentative="1">
      <w:start w:val="1"/>
      <w:numFmt w:val="bullet"/>
      <w:lvlText w:val="o"/>
      <w:lvlJc w:val="left"/>
      <w:pPr>
        <w:ind w:left="1775" w:hanging="360"/>
      </w:pPr>
      <w:rPr>
        <w:rFonts w:ascii="Courier New" w:hAnsi="Courier New" w:cs="Courier New" w:hint="default"/>
      </w:rPr>
    </w:lvl>
    <w:lvl w:ilvl="2" w:tplc="10090005" w:tentative="1">
      <w:start w:val="1"/>
      <w:numFmt w:val="bullet"/>
      <w:lvlText w:val=""/>
      <w:lvlJc w:val="left"/>
      <w:pPr>
        <w:ind w:left="2495" w:hanging="360"/>
      </w:pPr>
      <w:rPr>
        <w:rFonts w:ascii="Wingdings" w:hAnsi="Wingdings" w:hint="default"/>
      </w:rPr>
    </w:lvl>
    <w:lvl w:ilvl="3" w:tplc="10090001" w:tentative="1">
      <w:start w:val="1"/>
      <w:numFmt w:val="bullet"/>
      <w:lvlText w:val=""/>
      <w:lvlJc w:val="left"/>
      <w:pPr>
        <w:ind w:left="3215" w:hanging="360"/>
      </w:pPr>
      <w:rPr>
        <w:rFonts w:ascii="Symbol" w:hAnsi="Symbol" w:hint="default"/>
      </w:rPr>
    </w:lvl>
    <w:lvl w:ilvl="4" w:tplc="10090003" w:tentative="1">
      <w:start w:val="1"/>
      <w:numFmt w:val="bullet"/>
      <w:lvlText w:val="o"/>
      <w:lvlJc w:val="left"/>
      <w:pPr>
        <w:ind w:left="3935" w:hanging="360"/>
      </w:pPr>
      <w:rPr>
        <w:rFonts w:ascii="Courier New" w:hAnsi="Courier New" w:cs="Courier New" w:hint="default"/>
      </w:rPr>
    </w:lvl>
    <w:lvl w:ilvl="5" w:tplc="10090005" w:tentative="1">
      <w:start w:val="1"/>
      <w:numFmt w:val="bullet"/>
      <w:lvlText w:val=""/>
      <w:lvlJc w:val="left"/>
      <w:pPr>
        <w:ind w:left="4655" w:hanging="360"/>
      </w:pPr>
      <w:rPr>
        <w:rFonts w:ascii="Wingdings" w:hAnsi="Wingdings" w:hint="default"/>
      </w:rPr>
    </w:lvl>
    <w:lvl w:ilvl="6" w:tplc="10090001" w:tentative="1">
      <w:start w:val="1"/>
      <w:numFmt w:val="bullet"/>
      <w:lvlText w:val=""/>
      <w:lvlJc w:val="left"/>
      <w:pPr>
        <w:ind w:left="5375" w:hanging="360"/>
      </w:pPr>
      <w:rPr>
        <w:rFonts w:ascii="Symbol" w:hAnsi="Symbol" w:hint="default"/>
      </w:rPr>
    </w:lvl>
    <w:lvl w:ilvl="7" w:tplc="10090003" w:tentative="1">
      <w:start w:val="1"/>
      <w:numFmt w:val="bullet"/>
      <w:lvlText w:val="o"/>
      <w:lvlJc w:val="left"/>
      <w:pPr>
        <w:ind w:left="6095" w:hanging="360"/>
      </w:pPr>
      <w:rPr>
        <w:rFonts w:ascii="Courier New" w:hAnsi="Courier New" w:cs="Courier New" w:hint="default"/>
      </w:rPr>
    </w:lvl>
    <w:lvl w:ilvl="8" w:tplc="10090005" w:tentative="1">
      <w:start w:val="1"/>
      <w:numFmt w:val="bullet"/>
      <w:lvlText w:val=""/>
      <w:lvlJc w:val="left"/>
      <w:pPr>
        <w:ind w:left="6815" w:hanging="360"/>
      </w:pPr>
      <w:rPr>
        <w:rFonts w:ascii="Wingdings" w:hAnsi="Wingdings" w:hint="default"/>
      </w:rPr>
    </w:lvl>
  </w:abstractNum>
  <w:abstractNum w:abstractNumId="20" w15:restartNumberingAfterBreak="0">
    <w:nsid w:val="7467528B"/>
    <w:multiLevelType w:val="hybridMultilevel"/>
    <w:tmpl w:val="63B6CC58"/>
    <w:lvl w:ilvl="0" w:tplc="3A6E1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1008B"/>
    <w:multiLevelType w:val="hybridMultilevel"/>
    <w:tmpl w:val="093EFA32"/>
    <w:lvl w:ilvl="0" w:tplc="14BE15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4"/>
  </w:num>
  <w:num w:numId="5">
    <w:abstractNumId w:val="15"/>
  </w:num>
  <w:num w:numId="6">
    <w:abstractNumId w:val="20"/>
  </w:num>
  <w:num w:numId="7">
    <w:abstractNumId w:val="17"/>
  </w:num>
  <w:num w:numId="8">
    <w:abstractNumId w:val="0"/>
  </w:num>
  <w:num w:numId="9">
    <w:abstractNumId w:val="16"/>
  </w:num>
  <w:num w:numId="10">
    <w:abstractNumId w:val="3"/>
  </w:num>
  <w:num w:numId="11">
    <w:abstractNumId w:val="13"/>
  </w:num>
  <w:num w:numId="12">
    <w:abstractNumId w:val="2"/>
  </w:num>
  <w:num w:numId="13">
    <w:abstractNumId w:val="11"/>
  </w:num>
  <w:num w:numId="14">
    <w:abstractNumId w:val="9"/>
  </w:num>
  <w:num w:numId="15">
    <w:abstractNumId w:val="5"/>
  </w:num>
  <w:num w:numId="16">
    <w:abstractNumId w:val="21"/>
  </w:num>
  <w:num w:numId="17">
    <w:abstractNumId w:val="1"/>
  </w:num>
  <w:num w:numId="18">
    <w:abstractNumId w:val="7"/>
  </w:num>
  <w:num w:numId="19">
    <w:abstractNumId w:val="6"/>
  </w:num>
  <w:num w:numId="20">
    <w:abstractNumId w:val="18"/>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1D"/>
    <w:rsid w:val="0001227D"/>
    <w:rsid w:val="00013622"/>
    <w:rsid w:val="000A7F55"/>
    <w:rsid w:val="001017B7"/>
    <w:rsid w:val="0013566B"/>
    <w:rsid w:val="00141B5B"/>
    <w:rsid w:val="00182C43"/>
    <w:rsid w:val="001E6FDC"/>
    <w:rsid w:val="00242A62"/>
    <w:rsid w:val="0029211D"/>
    <w:rsid w:val="002B5AA8"/>
    <w:rsid w:val="002D0500"/>
    <w:rsid w:val="002E6907"/>
    <w:rsid w:val="00302F88"/>
    <w:rsid w:val="0037202B"/>
    <w:rsid w:val="00395AF3"/>
    <w:rsid w:val="003D52F6"/>
    <w:rsid w:val="00402087"/>
    <w:rsid w:val="00403351"/>
    <w:rsid w:val="004669D1"/>
    <w:rsid w:val="00467871"/>
    <w:rsid w:val="004A7F33"/>
    <w:rsid w:val="004C7992"/>
    <w:rsid w:val="004F2A3A"/>
    <w:rsid w:val="005301F6"/>
    <w:rsid w:val="00620042"/>
    <w:rsid w:val="0064000A"/>
    <w:rsid w:val="00676C96"/>
    <w:rsid w:val="0068027E"/>
    <w:rsid w:val="0068370B"/>
    <w:rsid w:val="00703A19"/>
    <w:rsid w:val="00712E95"/>
    <w:rsid w:val="0072133D"/>
    <w:rsid w:val="00775FC1"/>
    <w:rsid w:val="00783352"/>
    <w:rsid w:val="00792BF0"/>
    <w:rsid w:val="007E6A6F"/>
    <w:rsid w:val="008147BA"/>
    <w:rsid w:val="008B6533"/>
    <w:rsid w:val="008C47FF"/>
    <w:rsid w:val="00955BA0"/>
    <w:rsid w:val="009C14D5"/>
    <w:rsid w:val="00A17730"/>
    <w:rsid w:val="00A8561F"/>
    <w:rsid w:val="00B95BB0"/>
    <w:rsid w:val="00BC0821"/>
    <w:rsid w:val="00C2120C"/>
    <w:rsid w:val="00C43AA5"/>
    <w:rsid w:val="00C44B18"/>
    <w:rsid w:val="00C8163F"/>
    <w:rsid w:val="00D0155C"/>
    <w:rsid w:val="00D33A4D"/>
    <w:rsid w:val="00DB04AC"/>
    <w:rsid w:val="00E2007A"/>
    <w:rsid w:val="00E420B3"/>
    <w:rsid w:val="00E93CEF"/>
    <w:rsid w:val="00ED1C27"/>
    <w:rsid w:val="00F0459D"/>
    <w:rsid w:val="00F07BD5"/>
    <w:rsid w:val="00F20F36"/>
    <w:rsid w:val="00F60944"/>
    <w:rsid w:val="00FA430E"/>
    <w:rsid w:val="00FE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BCB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r">
    <w:name w:val="Table Spacer"/>
    <w:basedOn w:val="Normal"/>
    <w:pPr>
      <w:overflowPunct w:val="0"/>
      <w:autoSpaceDE w:val="0"/>
      <w:autoSpaceDN w:val="0"/>
      <w:adjustRightInd w:val="0"/>
      <w:textAlignment w:val="baseline"/>
    </w:pPr>
    <w:rPr>
      <w:rFonts w:ascii="Arial" w:eastAsia="Times" w:hAnsi="Arial" w:cs="Arial"/>
      <w:color w:val="000000"/>
      <w:sz w:val="12"/>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spacing w:after="120"/>
    </w:pPr>
    <w:rPr>
      <w:rFonts w:ascii="Garamond" w:hAnsi="Garamond" w:cs="Arial"/>
      <w:bCs/>
      <w:sz w:val="22"/>
      <w:szCs w:val="22"/>
    </w:rPr>
  </w:style>
  <w:style w:type="character" w:customStyle="1" w:styleId="BodyTextChar">
    <w:name w:val="Body Text Char"/>
    <w:link w:val="BodyText"/>
    <w:rPr>
      <w:rFonts w:ascii="Garamond" w:hAnsi="Garamond" w:cs="Arial"/>
      <w:bCs/>
      <w:sz w:val="22"/>
      <w:szCs w:val="22"/>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rPr>
  </w:style>
  <w:style w:type="paragraph" w:styleId="ListParagraph">
    <w:name w:val="List Paragraph"/>
    <w:basedOn w:val="Normal"/>
    <w:uiPriority w:val="34"/>
    <w:qFormat/>
    <w:pPr>
      <w:ind w:left="720"/>
    </w:p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rPr>
      <w:vertAlign w:val="superscript"/>
    </w:rPr>
  </w:style>
  <w:style w:type="paragraph" w:styleId="Title">
    <w:name w:val="Title"/>
    <w:basedOn w:val="Normal"/>
    <w:next w:val="Normal"/>
    <w:link w:val="TitleChar"/>
    <w:uiPriority w:val="10"/>
    <w:pPr>
      <w:tabs>
        <w:tab w:val="left" w:pos="0"/>
      </w:tabs>
      <w:suppressAutoHyphens/>
      <w:autoSpaceDE w:val="0"/>
      <w:autoSpaceDN w:val="0"/>
      <w:adjustRightInd w:val="0"/>
      <w:textAlignment w:val="center"/>
    </w:pPr>
    <w:rPr>
      <w:rFonts w:cs="Arial"/>
      <w:color w:val="FFFFFF"/>
      <w:sz w:val="48"/>
      <w:szCs w:val="48"/>
    </w:rPr>
  </w:style>
  <w:style w:type="character" w:customStyle="1" w:styleId="TitleChar">
    <w:name w:val="Title Char"/>
    <w:link w:val="Title"/>
    <w:uiPriority w:val="10"/>
    <w:rPr>
      <w:rFonts w:cs="Arial"/>
      <w:color w:val="FFFFFF"/>
      <w:sz w:val="48"/>
      <w:szCs w:val="48"/>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55649">
      <w:bodyDiv w:val="1"/>
      <w:marLeft w:val="0"/>
      <w:marRight w:val="0"/>
      <w:marTop w:val="0"/>
      <w:marBottom w:val="0"/>
      <w:divBdr>
        <w:top w:val="none" w:sz="0" w:space="0" w:color="auto"/>
        <w:left w:val="none" w:sz="0" w:space="0" w:color="auto"/>
        <w:bottom w:val="none" w:sz="0" w:space="0" w:color="auto"/>
        <w:right w:val="none" w:sz="0" w:space="0" w:color="auto"/>
      </w:divBdr>
    </w:div>
    <w:div w:id="165055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ules_comments@aeso.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WRMItemRecordCategory xmlns="650fffc6-a86a-4844-afad-966e4497fd3d" xsi:nil="true"/>
    <CWRMItemRecordState xmlns="650fffc6-a86a-4844-afad-966e4497fd3d" xsi:nil="true"/>
    <e4f22e6f29fb4eb6af23a655472aab9f xmlns="bfc2574c-8110-4e43-9784-1ee86de75c6c">
      <Terms xmlns="http://schemas.microsoft.com/office/infopath/2007/PartnerControls">
        <TermInfo xmlns="http://schemas.microsoft.com/office/infopath/2007/PartnerControls">
          <TermName xmlns="http://schemas.microsoft.com/office/infopath/2007/PartnerControls">ID #2013 005R, Operating Reserve</TermName>
          <TermId xmlns="http://schemas.microsoft.com/office/infopath/2007/PartnerControls">2e10ee4d-666c-4399-a98c-e5322bbdbd3d</TermId>
        </TermInfo>
        <TermInfo xmlns="http://schemas.microsoft.com/office/infopath/2007/PartnerControls">
          <TermName xmlns="http://schemas.microsoft.com/office/infopath/2007/PartnerControls">ID #2013-007R, Contingency Reserve</TermName>
          <TermId xmlns="http://schemas.microsoft.com/office/infopath/2007/PartnerControls">00f38baa-6b22-4297-ac6a-cc1a970aec5d</TermId>
        </TermInfo>
        <TermInfo xmlns="http://schemas.microsoft.com/office/infopath/2007/PartnerControls">
          <TermName xmlns="http://schemas.microsoft.com/office/infopath/2007/PartnerControls">ID #2013-006R, Regulating Reserve</TermName>
          <TermId xmlns="http://schemas.microsoft.com/office/infopath/2007/PartnerControls">12cd5b7a-3e43-4703-99cd-470b27ce3faa</TermId>
        </TermInfo>
      </Terms>
    </e4f22e6f29fb4eb6af23a655472aab9f>
    <CWRMItemRecordDeclaredDate xmlns="650fffc6-a86a-4844-afad-966e4497fd3d" xsi:nil="true"/>
    <_dlc_DocId xmlns="bfc2574c-8110-4e43-9784-1ee86de75c6c">0000019MTL</_dlc_DocId>
    <TaxCatchAll xmlns="bfc2574c-8110-4e43-9784-1ee86de75c6c">
      <Value>1589</Value>
      <Value>1587</Value>
      <Value>1322</Value>
      <Value>1578</Value>
      <Value>2465</Value>
      <Value>2464</Value>
      <Value>2463</Value>
      <Value>1348</Value>
      <Value>1271</Value>
      <Value>1529</Value>
      <Value>1593</Value>
      <Value>1592</Value>
      <Value>1591</Value>
    </TaxCatchAll>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REG-01 - Rules Development</TermName>
          <TermId xmlns="http://schemas.microsoft.com/office/infopath/2007/PartnerControls">d8c07a69-2ac5-4b34-96d7-e1add9f5d27b</TermId>
        </TermInfo>
      </Terms>
    </e94be97ffb024deb9c3d6d978a059d35>
    <CWRMItemRecordVital xmlns="650fffc6-a86a-4844-afad-966e4497fd3d">false</CWRMItemRecordVital>
    <CWRMItemRecordStatus xmlns="650fffc6-a86a-4844-afad-966e4497fd3d" xsi:nil="true"/>
    <Notes0 xmlns="28a23bd2-3667-4f3a-9f15-05647af9d31b" xsi:nil="true"/>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xsi:type="xsd:dateTime"&gt;0001-01-01T00:00:00&lt;/LastProcessedDateValue&gt;&lt;/RecordData&gt;</CWRMItemRecordData>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6220e8f1-840d-40ad-b65f-2194c8e12464</TermId>
        </TermInfo>
      </Terms>
    </o74c417c636446b2936ee46a3b1dd71d>
    <k64467115e4948f8a6ae90544ba894f6 xmlns="bfc2574c-8110-4e43-9784-1ee86de75c6c">
      <Terms xmlns="http://schemas.microsoft.com/office/infopath/2007/PartnerControls">
        <TermInfo xmlns="http://schemas.microsoft.com/office/infopath/2007/PartnerControls">
          <TermName xmlns="http://schemas.microsoft.com/office/infopath/2007/PartnerControls">Section 203.6 Available Transfer Capability and Transfer Path Management</TermName>
          <TermId xmlns="http://schemas.microsoft.com/office/infopath/2007/PartnerControls">9cfa143e-491c-41d6-8778-b02a9fe00661</TermId>
        </TermInfo>
        <TermInfo xmlns="http://schemas.microsoft.com/office/infopath/2007/PartnerControls">
          <TermName xmlns="http://schemas.microsoft.com/office/infopath/2007/PartnerControls">Section 205.1 Offers for Operating Reserve</TermName>
          <TermId xmlns="http://schemas.microsoft.com/office/infopath/2007/PartnerControls">eee4d544-1741-4740-9519-66e02965d461</TermId>
        </TermInfo>
        <TermInfo xmlns="http://schemas.microsoft.com/office/infopath/2007/PartnerControls">
          <TermName xmlns="http://schemas.microsoft.com/office/infopath/2007/PartnerControls">Section 205.3 Restatements for Operating Reserve</TermName>
          <TermId xmlns="http://schemas.microsoft.com/office/infopath/2007/PartnerControls">6753baad-1011-4dac-bdd5-2a7dcddc38cf</TermId>
        </TermInfo>
        <TermInfo xmlns="http://schemas.microsoft.com/office/infopath/2007/PartnerControls">
          <TermName xmlns="http://schemas.microsoft.com/office/infopath/2007/PartnerControls">Section 205.5 Spinning Reserve Technical Requirements and Performance Standards</TermName>
          <TermId xmlns="http://schemas.microsoft.com/office/infopath/2007/PartnerControls">7aac42a7-b30b-4ef2-8b5b-22bf90fec711</TermId>
        </TermInfo>
        <TermInfo xmlns="http://schemas.microsoft.com/office/infopath/2007/PartnerControls">
          <TermName xmlns="http://schemas.microsoft.com/office/infopath/2007/PartnerControls">Section 205.6 Supplemental Reserve Technical Requirements and Performance Standards</TermName>
          <TermId xmlns="http://schemas.microsoft.com/office/infopath/2007/PartnerControls">1f5a3155-7fca-46b9-a216-3e64cb9994da</TermId>
        </TermInfo>
        <TermInfo xmlns="http://schemas.microsoft.com/office/infopath/2007/PartnerControls">
          <TermName xmlns="http://schemas.microsoft.com/office/infopath/2007/PartnerControls">Section 302.1 Real Time Transmission Constraint Management</TermName>
          <TermId xmlns="http://schemas.microsoft.com/office/infopath/2007/PartnerControls">f73277c8-64a9-45fc-a1aa-a726f550bb6e</TermId>
        </TermInfo>
      </Terms>
    </k64467115e4948f8a6ae90544ba894f6>
    <nc9abd60d2924b6a80e31aa92886dd82 xmlns="bfc2574c-8110-4e43-9784-1ee86de75c6c">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15f241a2-070b-4f95-b89e-6f4a51567de7</TermId>
        </TermInfo>
      </Terms>
    </nc9abd60d2924b6a80e31aa92886dd82>
    <Activity_x0020_Complete_x0020_Date xmlns="bfc2574c-8110-4e43-9784-1ee86de75c6c" xsi:nil="true"/>
    <_dlc_DocIdUrl xmlns="bfc2574c-8110-4e43-9784-1ee86de75c6c">
      <Url>https://share.aeso.ca/sites/records-law/LARA/_layouts/15/DocIdRedir.aspx?ID=0000019MTL</Url>
      <Description>0000019MTL</Description>
    </_dlc_DocIdUrl>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n920abf613194d45b14af8191f159b16 xmlns="bfc2574c-8110-4e43-9784-1ee86de75c6c">
      <Terms xmlns="http://schemas.microsoft.com/office/infopath/2007/PartnerControls"/>
    </n920abf613194d45b14af8191f159b16>
    <CWRMItemUniqueId xmlns="650fffc6-a86a-4844-afad-966e4497fd3d">0000019MTL</CWRMItemUniqueId>
    <LARA_x0020_Status xmlns="bfc2574c-8110-4e43-9784-1ee86de75c6c">Active</LARA_x0020_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3371fdb-7bec-4d52-adeb-1166efac0023" ContentTypeId="0x010100BC84ACA119491D43B8AEA0C41A758E3B0B02" PreviousValue="false"/>
</file>

<file path=customXml/item5.xml><?xml version="1.0" encoding="utf-8"?>
<?mso-contentType ?>
<spe:Receivers xmlns:spe="http://schemas.microsoft.com/sharepoint/events">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ISO Rules Document" ma:contentTypeID="0x010100BC84ACA119491D43B8AEA0C41A758E3B0B0200397878E89679484694B50D60D7FD0D94" ma:contentTypeVersion="59" ma:contentTypeDescription="" ma:contentTypeScope="" ma:versionID="04c6828344e196b7343ad97bad8bba23">
  <xsd:schema xmlns:xsd="http://www.w3.org/2001/XMLSchema" xmlns:xs="http://www.w3.org/2001/XMLSchema" xmlns:p="http://schemas.microsoft.com/office/2006/metadata/properties" xmlns:ns2="bfc2574c-8110-4e43-9784-1ee86de75c6c" xmlns:ns4="650fffc6-a86a-4844-afad-966e4497fd3d" xmlns:ns5="28a23bd2-3667-4f3a-9f15-05647af9d31b" xmlns:ns6="3874a12c-cb96-46c0-a01b-e4d7e8d40966" targetNamespace="http://schemas.microsoft.com/office/2006/metadata/properties" ma:root="true" ma:fieldsID="fe2f01555dec2b14c3c4c93cbbff807d" ns2:_="" ns4:_="" ns5:_="" ns6:_="">
    <xsd:import namespace="bfc2574c-8110-4e43-9784-1ee86de75c6c"/>
    <xsd:import namespace="650fffc6-a86a-4844-afad-966e4497fd3d"/>
    <xsd:import namespace="28a23bd2-3667-4f3a-9f15-05647af9d31b"/>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2:e4f22e6f29fb4eb6af23a655472aab9f" minOccurs="0"/>
                <xsd:element ref="ns4:CWRMItemUniqueId" minOccurs="0"/>
                <xsd:element ref="ns2:nc9abd60d2924b6a80e31aa92886dd82" minOccurs="0"/>
                <xsd:element ref="ns4:CWRMItemRecordState" minOccurs="0"/>
                <xsd:element ref="ns2:n920abf613194d45b14af8191f159b16" minOccurs="0"/>
                <xsd:element ref="ns4:CWRMItemRecordCategory" minOccurs="0"/>
                <xsd:element ref="ns2:o74c417c636446b2936ee46a3b1dd71d" minOccurs="0"/>
                <xsd:element ref="ns2:k64467115e4948f8a6ae90544ba894f6" minOccurs="0"/>
                <xsd:element ref="ns5:Notes0"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6" nillable="true" ma:displayName="LARA Status" ma:default="Active" ma:format="Dropdown" ma:internalName="LARA_x0020_Status">
      <xsd:simpleType>
        <xsd:restriction base="dms:Choice">
          <xsd:enumeration value="Active"/>
          <xsd:enumeration value="Inactive"/>
        </xsd:restriction>
      </xsd:simpleType>
    </xsd:element>
    <xsd:element name="TaxCatchAll" ma:index="11"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9"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4f22e6f29fb4eb6af23a655472aab9f" ma:index="25" nillable="true" ma:taxonomy="true" ma:internalName="e4f22e6f29fb4eb6af23a655472aab9f" ma:taxonomyFieldName="Related_x0020_IDs" ma:displayName="Related IDs" ma:default="" ma:fieldId="{e4f22e6f-29fb-4eb6-af23-a655472aab9f}" ma:taxonomyMulti="true" ma:sspId="93371fdb-7bec-4d52-adeb-1166efac0023" ma:termSetId="1bafa7bf-1e15-4e60-8ec8-ac07e5ec2576" ma:anchorId="00000000-0000-0000-0000-000000000000" ma:open="true" ma:isKeyword="false">
      <xsd:complexType>
        <xsd:sequence>
          <xsd:element ref="pc:Terms" minOccurs="0" maxOccurs="1"/>
        </xsd:sequence>
      </xsd:complexType>
    </xsd:element>
    <xsd:element name="nc9abd60d2924b6a80e31aa92886dd82" ma:index="28" nillable="true" ma:taxonomy="true" ma:internalName="nc9abd60d2924b6a80e31aa92886dd82" ma:taxonomyFieldName="Business_x0020_Unit_x0028_s_x0029_" ma:displayName="Business Unit(s)" ma:default="" ma:fieldId="{7c9abd60-d292-4b6a-80e3-1aa92886dd82}" ma:taxonomyMulti="true" ma:sspId="93371fdb-7bec-4d52-adeb-1166efac0023" ma:termSetId="3d412721-2c26-4086-a4aa-f3bd35cef3bd" ma:anchorId="00000000-0000-0000-0000-000000000000" ma:open="false" ma:isKeyword="false">
      <xsd:complexType>
        <xsd:sequence>
          <xsd:element ref="pc:Terms" minOccurs="0" maxOccurs="1"/>
        </xsd:sequence>
      </xsd:complexType>
    </xsd:element>
    <xsd:element name="n920abf613194d45b14af8191f159b16" ma:index="30" nillable="true" ma:taxonomy="true" ma:internalName="n920abf613194d45b14af8191f159b16" ma:taxonomyFieldName="Division" ma:displayName="Division" ma:default="" ma:fieldId="{7920abf6-1319-4d45-b14a-f8191f159b16}" ma:sspId="93371fdb-7bec-4d52-adeb-1166efac0023" ma:termSetId="11120aec-cc94-4c12-a4d0-0fdbfde7d5ed" ma:anchorId="00000000-0000-0000-0000-000000000000" ma:open="true" ma:isKeyword="false">
      <xsd:complexType>
        <xsd:sequence>
          <xsd:element ref="pc:Terms" minOccurs="0" maxOccurs="1"/>
        </xsd:sequence>
      </xsd:complexType>
    </xsd:element>
    <xsd:element name="o74c417c636446b2936ee46a3b1dd71d" ma:index="32"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element name="k64467115e4948f8a6ae90544ba894f6" ma:index="34" nillable="true" ma:taxonomy="true" ma:internalName="k64467115e4948f8a6ae90544ba894f6" ma:taxonomyFieldName="Related_x0020_ADs" ma:displayName="Related ADs" ma:default="" ma:fieldId="{46446711-5e49-48f8-a6ae-90544ba894f6}" ma:taxonomyMulti="true" ma:sspId="93371fdb-7bec-4d52-adeb-1166efac0023" ma:termSetId="a53a396f-088e-46cc-82dd-f28275a65df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e94be97ffb024deb9c3d6d978a059d35" ma:index="10"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4"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5"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7" nillable="true" ma:displayName="Record Data" ma:description="Contains system specific record data for the item." ma:hidden="true" ma:internalName="CWRMItemRecordData">
      <xsd:simpleType>
        <xsd:restriction base="dms:Note"/>
      </xsd:simpleType>
    </xsd:element>
    <xsd:element name="CWRMItemUniqueId" ma:index="27" nillable="true" ma:displayName="Content ID" ma:description="A universally unique identifier assigned to the item." ma:hidden="true" ma:internalName="CWRMItemUniqueId" ma:readOnly="true">
      <xsd:simpleType>
        <xsd:restriction base="dms:Text"/>
      </xsd:simpleType>
    </xsd:element>
    <xsd:element name="CWRMItemRecordState" ma:index="29"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31" nillable="true" ma:displayName="Record Category" ma:description="Identifies the current record category for the item." ma:hidden="true" ma:internalName="CWRMItemRecordCategory"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23bd2-3667-4f3a-9f15-05647af9d31b" elementFormDefault="qualified">
    <xsd:import namespace="http://schemas.microsoft.com/office/2006/documentManagement/types"/>
    <xsd:import namespace="http://schemas.microsoft.com/office/infopath/2007/PartnerControls"/>
    <xsd:element name="Notes0" ma:index="36"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7479A-505D-4A75-97D0-79CA67D70F19}"/>
</file>

<file path=customXml/itemProps2.xml><?xml version="1.0" encoding="utf-8"?>
<ds:datastoreItem xmlns:ds="http://schemas.openxmlformats.org/officeDocument/2006/customXml" ds:itemID="{EE1357D7-A3EC-4A65-87BD-08DA669E3C77}"/>
</file>

<file path=customXml/itemProps3.xml><?xml version="1.0" encoding="utf-8"?>
<ds:datastoreItem xmlns:ds="http://schemas.openxmlformats.org/officeDocument/2006/customXml" ds:itemID="{DCB07501-AE2B-4D71-BC47-25F677AC364A}"/>
</file>

<file path=customXml/itemProps4.xml><?xml version="1.0" encoding="utf-8"?>
<ds:datastoreItem xmlns:ds="http://schemas.openxmlformats.org/officeDocument/2006/customXml" ds:itemID="{9E747293-FC97-4E43-9CF2-7F1B2320B8BD}"/>
</file>

<file path=customXml/itemProps5.xml><?xml version="1.0" encoding="utf-8"?>
<ds:datastoreItem xmlns:ds="http://schemas.openxmlformats.org/officeDocument/2006/customXml" ds:itemID="{99114975-C664-4A65-9850-885F4E116890}"/>
</file>

<file path=customXml/itemProps6.xml><?xml version="1.0" encoding="utf-8"?>
<ds:datastoreItem xmlns:ds="http://schemas.openxmlformats.org/officeDocument/2006/customXml" ds:itemID="{BECBEF9B-8D9F-42CE-B53D-328F7DEDA6F2}"/>
</file>

<file path=customXml/itemProps7.xml><?xml version="1.0" encoding="utf-8"?>
<ds:datastoreItem xmlns:ds="http://schemas.openxmlformats.org/officeDocument/2006/customXml" ds:itemID="{25A1A576-0998-4DF9-B35C-DFEE74C8FB1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2022-04-12T16:18:00Z</dcterms:created>
  <dcterms:modified xsi:type="dcterms:W3CDTF">2022-05-04T21:45:00Z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Definition">
    <vt:lpwstr/>
  </property>
  <property fmtid="{D5CDD505-2E9C-101B-9397-08002B2CF9AE}" pid="3" name="Order">
    <vt:lpwstr>76100.0000000000</vt:lpwstr>
  </property>
  <property fmtid="{D5CDD505-2E9C-101B-9397-08002B2CF9AE}" pid="4" name="Related ADs">
    <vt:lpwstr>1578;#Section 203.6 Available Transfer Capability and Transfer Path Management|9cfa143e-491c-41d6-8778-b02a9fe00661;#1587;#Section 205.1 Offers for Operating Reserve|eee4d544-1741-4740-9519-66e02965d461;#1589;#Section 205.3 Restatements for Operating Reserve|6753baad-1011-4dac-bdd5-2a7dcddc38cf;#1591;#Section 205.5 Spinning Reserve Technical Requirements and Performance Standards|7aac42a7-b30b-4ef2-8b5b-22bf90fec711;#1592;#Section 205.6 Supplemental Reserve Technical Requirements and Performance Standards|1f5a3155-7fca-46b9-a216-3e64cb9994da;#1593;#Section 302.1 Real Time Transmission Constraint Management|f73277c8-64a9-45fc-a1aa-a726f550bb6e</vt:lpwstr>
  </property>
  <property fmtid="{D5CDD505-2E9C-101B-9397-08002B2CF9AE}" pid="5" name="xd_ProgID">
    <vt:lpwstr/>
  </property>
  <property fmtid="{D5CDD505-2E9C-101B-9397-08002B2CF9AE}" pid="6" name="DocumentSetDescription">
    <vt:lpwstr/>
  </property>
  <property fmtid="{D5CDD505-2E9C-101B-9397-08002B2CF9AE}" pid="7" name="ContentTypeId">
    <vt:lpwstr>0x010100BC84ACA119491D43B8AEA0C41A758E3B0B0200397878E89679484694B50D60D7FD0D94</vt:lpwstr>
  </property>
  <property fmtid="{D5CDD505-2E9C-101B-9397-08002B2CF9AE}" pid="8" name="i25e9ceaa7c2448f9c5e0f14e0ef915a">
    <vt:lpwstr/>
  </property>
  <property fmtid="{D5CDD505-2E9C-101B-9397-08002B2CF9AE}" pid="9" name="Confidentiality Classification">
    <vt:lpwstr>1271;#AESO Internal|fe2129cc-e616-4c1e-9a39-b6921e014562</vt:lpwstr>
  </property>
  <property fmtid="{D5CDD505-2E9C-101B-9397-08002B2CF9AE}" pid="10" name="TemplateUrl">
    <vt:lpwstr/>
  </property>
  <property fmtid="{D5CDD505-2E9C-101B-9397-08002B2CF9AE}" pid="11" name="Related IDs">
    <vt:lpwstr>2463;#ID #2013 005R, Operating Reserve|2e10ee4d-666c-4399-a98c-e5322bbdbd3d;#2464;#ID #2013-007R, Contingency Reserve|00f38baa-6b22-4297-ac6a-cc1a970aec5d;#2465;#ID #2013-006R, Regulating Reserve|12cd5b7a-3e43-4703-99cd-470b27ce3faa</vt:lpwstr>
  </property>
  <property fmtid="{D5CDD505-2E9C-101B-9397-08002B2CF9AE}" pid="12" name="_dlc_DocIdItemGuid">
    <vt:lpwstr>91e68a4b-6898-4e84-bf09-2441cd0d7c4f</vt:lpwstr>
  </property>
  <property fmtid="{D5CDD505-2E9C-101B-9397-08002B2CF9AE}" pid="13" name="ConsultationRound">
    <vt:lpwstr/>
  </property>
  <property fmtid="{D5CDD505-2E9C-101B-9397-08002B2CF9AE}" pid="14" name="Division">
    <vt:lpwstr/>
  </property>
  <property fmtid="{D5CDD505-2E9C-101B-9397-08002B2CF9AE}" pid="15" name="Business Unit(s)">
    <vt:lpwstr>1529;#Markets|15f241a2-070b-4f95-b89e-6f4a51567de7</vt:lpwstr>
  </property>
  <property fmtid="{D5CDD505-2E9C-101B-9397-08002B2CF9AE}" pid="16" name="LARA Category0">
    <vt:lpwstr>1348;#Stakeholder Engagement|6220e8f1-840d-40ad-b65f-2194c8e12464</vt:lpwstr>
  </property>
  <property fmtid="{D5CDD505-2E9C-101B-9397-08002B2CF9AE}" pid="17" name="DocumentDate">
    <vt:lpwstr/>
  </property>
  <property fmtid="{D5CDD505-2E9C-101B-9397-08002B2CF9AE}" pid="18" name="_docset_NoMedatataSyncRequired">
    <vt:lpwstr>False</vt:lpwstr>
  </property>
  <property fmtid="{D5CDD505-2E9C-101B-9397-08002B2CF9AE}" pid="19" name="CWRMItemRecordClassification">
    <vt:lpwstr>1322;#REG-01 - Rules Development|d8c07a69-2ac5-4b34-96d7-e1add9f5d27b</vt:lpwstr>
  </property>
  <property fmtid="{D5CDD505-2E9C-101B-9397-08002B2CF9AE}" pid="20" name="MSIP_Label_854f2212-fe43-4578-b841-38c95b77cb60_Enabled">
    <vt:lpwstr>true</vt:lpwstr>
  </property>
  <property fmtid="{D5CDD505-2E9C-101B-9397-08002B2CF9AE}" pid="21" name="MSIP_Label_854f2212-fe43-4578-b841-38c95b77cb60_SetDate">
    <vt:lpwstr>2022-04-12T16:17:41Z</vt:lpwstr>
  </property>
  <property fmtid="{D5CDD505-2E9C-101B-9397-08002B2CF9AE}" pid="22" name="MSIP_Label_854f2212-fe43-4578-b841-38c95b77cb60_Method">
    <vt:lpwstr>Privileged</vt:lpwstr>
  </property>
  <property fmtid="{D5CDD505-2E9C-101B-9397-08002B2CF9AE}" pid="23" name="MSIP_Label_854f2212-fe43-4578-b841-38c95b77cb60_Name">
    <vt:lpwstr>AESO Internal Protected Document</vt:lpwstr>
  </property>
  <property fmtid="{D5CDD505-2E9C-101B-9397-08002B2CF9AE}" pid="24" name="MSIP_Label_854f2212-fe43-4578-b841-38c95b77cb60_SiteId">
    <vt:lpwstr>9869aa0d-ebba-4f8c-9399-7dff7665b1d1</vt:lpwstr>
  </property>
  <property fmtid="{D5CDD505-2E9C-101B-9397-08002B2CF9AE}" pid="25" name="MSIP_Label_854f2212-fe43-4578-b841-38c95b77cb60_ActionId">
    <vt:lpwstr>e5754393-f4f2-4509-afd0-1d5c9b7fbabc</vt:lpwstr>
  </property>
  <property fmtid="{D5CDD505-2E9C-101B-9397-08002B2CF9AE}" pid="26" name="MSIP_Label_854f2212-fe43-4578-b841-38c95b77cb60_ContentBits">
    <vt:lpwstr>0</vt:lpwstr>
  </property>
</Properties>
</file>