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7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5023"/>
      </w:tblGrid>
      <w:tr w:rsidR="0029211D" w14:paraId="4BCBC537" w14:textId="77777777" w:rsidTr="00703A19">
        <w:trPr>
          <w:trHeight w:val="1520"/>
        </w:trPr>
        <w:tc>
          <w:tcPr>
            <w:tcW w:w="2965" w:type="pct"/>
          </w:tcPr>
          <w:tbl>
            <w:tblPr>
              <w:tblpPr w:leftFromText="180" w:rightFromText="180" w:vertAnchor="page" w:horzAnchor="margin" w:tblpY="101"/>
              <w:tblOverlap w:val="never"/>
              <w:tblW w:w="84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57"/>
              <w:gridCol w:w="2499"/>
              <w:gridCol w:w="877"/>
              <w:gridCol w:w="2998"/>
            </w:tblGrid>
            <w:tr w:rsidR="0029211D" w14:paraId="4BCBC525" w14:textId="77777777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BC521" w14:textId="77777777" w:rsidR="0029211D" w:rsidRDefault="004A7F33" w:rsidP="00242A62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Period of Comment: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BC522" w14:textId="7B9D6C57" w:rsidR="0029211D" w:rsidRPr="00712E95" w:rsidRDefault="00E8223A" w:rsidP="00242A62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September </w:t>
                  </w:r>
                  <w:r w:rsidR="002678F7">
                    <w:rPr>
                      <w:rFonts w:ascii="Arial" w:hAnsi="Arial" w:cs="Arial"/>
                      <w:sz w:val="20"/>
                      <w:szCs w:val="20"/>
                    </w:rPr>
                    <w:t>12</w:t>
                  </w:r>
                  <w:r w:rsidR="00C44B18" w:rsidRPr="00712E95">
                    <w:rPr>
                      <w:rFonts w:ascii="Arial" w:hAnsi="Arial" w:cs="Arial"/>
                      <w:sz w:val="20"/>
                      <w:szCs w:val="20"/>
                    </w:rPr>
                    <w:t>, 2022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BC523" w14:textId="77777777" w:rsidR="0029211D" w:rsidRPr="00712E95" w:rsidRDefault="004A7F33" w:rsidP="00242A62">
                  <w:pPr>
                    <w:keepNext/>
                    <w:tabs>
                      <w:tab w:val="left" w:pos="7094"/>
                    </w:tabs>
                    <w:spacing w:before="120"/>
                    <w:ind w:left="-18" w:right="-34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12E95"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3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BC524" w14:textId="0933B78F" w:rsidR="0029211D" w:rsidRPr="00712E95" w:rsidRDefault="00FF1C65" w:rsidP="00242A62">
                  <w:pPr>
                    <w:keepNext/>
                    <w:tabs>
                      <w:tab w:val="left" w:pos="7094"/>
                    </w:tabs>
                    <w:spacing w:before="120"/>
                    <w:ind w:left="-18" w:right="-3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October 4</w:t>
                  </w:r>
                  <w:r w:rsidR="0037202B" w:rsidRPr="00712E95">
                    <w:rPr>
                      <w:rFonts w:ascii="Arial" w:hAnsi="Arial" w:cs="Arial"/>
                      <w:sz w:val="20"/>
                      <w:szCs w:val="20"/>
                    </w:rPr>
                    <w:t>, 2022</w:t>
                  </w:r>
                </w:p>
              </w:tc>
            </w:tr>
            <w:tr w:rsidR="0029211D" w14:paraId="4BCBC528" w14:textId="77777777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BC526" w14:textId="77777777" w:rsidR="0029211D" w:rsidRDefault="004A7F33" w:rsidP="00242A62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BC527" w14:textId="77777777" w:rsidR="0029211D" w:rsidRDefault="004A7F33" w:rsidP="00242A62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Name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  <w:tr w:rsidR="0029211D" w14:paraId="4BCBC52B" w14:textId="77777777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BC529" w14:textId="77777777" w:rsidR="0029211D" w:rsidRDefault="004A7F33" w:rsidP="00242A62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Date:</w:t>
                  </w:r>
                </w:p>
              </w:tc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BC52A" w14:textId="77777777" w:rsidR="0029211D" w:rsidRDefault="004A7F33" w:rsidP="00242A62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  <w:highlight w:val="lightGray"/>
                    </w:rPr>
                    <w:t>[yyyy/mm/dd]</w:t>
                  </w:r>
                </w:p>
              </w:tc>
            </w:tr>
          </w:tbl>
          <w:p w14:paraId="4BCBC52C" w14:textId="77777777" w:rsidR="0029211D" w:rsidRDefault="0029211D" w:rsidP="00242A62">
            <w:pPr>
              <w:keepNext/>
              <w:tabs>
                <w:tab w:val="left" w:pos="7094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5" w:type="pct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52"/>
              <w:gridCol w:w="3755"/>
            </w:tblGrid>
            <w:tr w:rsidR="0029211D" w14:paraId="4BCBC52F" w14:textId="77777777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BC52D" w14:textId="77777777" w:rsidR="0029211D" w:rsidRDefault="004A7F33" w:rsidP="00242A62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Contact: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BC52E" w14:textId="77777777" w:rsidR="0029211D" w:rsidRDefault="004A7F33" w:rsidP="00242A62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Representative "/>
                        </w:textInput>
                      </w:ffData>
                    </w:fldChar>
                  </w:r>
                  <w:bookmarkStart w:id="1" w:name="Text7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Company Representative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29211D" w14:paraId="4BCBC532" w14:textId="77777777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BC530" w14:textId="77777777" w:rsidR="0029211D" w:rsidRDefault="004A7F33" w:rsidP="00242A62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Phone:</w:t>
                  </w:r>
                </w:p>
              </w:tc>
              <w:bookmarkStart w:id="2" w:name="Text8"/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BC531" w14:textId="77777777" w:rsidR="0029211D" w:rsidRDefault="004A7F33" w:rsidP="00242A62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Contact Phone Number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29211D" w14:paraId="4BCBC535" w14:textId="77777777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BC533" w14:textId="77777777" w:rsidR="0029211D" w:rsidRDefault="004A7F33" w:rsidP="00242A62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Email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BC534" w14:textId="77777777" w:rsidR="0029211D" w:rsidRDefault="0029211D" w:rsidP="00242A62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BCBC536" w14:textId="77777777" w:rsidR="0029211D" w:rsidRDefault="004A7F33" w:rsidP="00242A62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48432CEE" w14:textId="3A49B383" w:rsidR="00302F88" w:rsidRDefault="004A7F33" w:rsidP="00C43AA5">
      <w:pPr>
        <w:widowControl w:val="0"/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Instructions:</w:t>
      </w:r>
    </w:p>
    <w:p w14:paraId="4BCBC539" w14:textId="4160C349" w:rsidR="0029211D" w:rsidRDefault="004A7F33" w:rsidP="00C43AA5">
      <w:pPr>
        <w:pStyle w:val="ListParagraph"/>
        <w:widowControl w:val="0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fill out the section above as indicated.</w:t>
      </w:r>
    </w:p>
    <w:p w14:paraId="4BBAB2C8" w14:textId="04263E4C" w:rsidR="00402087" w:rsidRPr="00242A62" w:rsidRDefault="00402087" w:rsidP="00C43AA5">
      <w:pPr>
        <w:pStyle w:val="ListParagraph"/>
        <w:widowControl w:val="0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242A62">
        <w:rPr>
          <w:rFonts w:ascii="Arial" w:hAnsi="Arial" w:cs="Arial"/>
          <w:sz w:val="20"/>
          <w:szCs w:val="20"/>
        </w:rPr>
        <w:t>Add your feedback to the following comment matrix</w:t>
      </w:r>
      <w:r w:rsidR="00302F88">
        <w:rPr>
          <w:rFonts w:ascii="Arial" w:hAnsi="Arial" w:cs="Arial"/>
          <w:sz w:val="20"/>
          <w:szCs w:val="20"/>
        </w:rPr>
        <w:t>.</w:t>
      </w:r>
    </w:p>
    <w:p w14:paraId="5A9645E8" w14:textId="38309179" w:rsidR="00302F88" w:rsidRPr="00C43AA5" w:rsidRDefault="004A7F33" w:rsidP="00C43AA5">
      <w:pPr>
        <w:pStyle w:val="ListParagraph"/>
        <w:widowControl w:val="0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Email your completed comment matrix to </w:t>
      </w:r>
      <w:hyperlink r:id="rId9" w:history="1">
        <w:r>
          <w:rPr>
            <w:rStyle w:val="Hyperlink"/>
            <w:rFonts w:ascii="Arial" w:hAnsi="Arial" w:cs="Arial"/>
            <w:sz w:val="20"/>
            <w:szCs w:val="20"/>
          </w:rPr>
          <w:t>rules_comments@aeso.ca</w:t>
        </w:r>
      </w:hyperlink>
      <w:r>
        <w:rPr>
          <w:rStyle w:val="Hyperlink"/>
          <w:rFonts w:ascii="Arial" w:hAnsi="Arial" w:cs="Arial"/>
          <w:sz w:val="20"/>
          <w:szCs w:val="20"/>
        </w:rPr>
        <w:t>.</w:t>
      </w:r>
    </w:p>
    <w:p w14:paraId="7C8B896E" w14:textId="19075B06" w:rsidR="000F2092" w:rsidRPr="000F2092" w:rsidRDefault="000F2092" w:rsidP="000F2092">
      <w:pPr>
        <w:spacing w:before="120" w:after="120"/>
        <w:rPr>
          <w:rFonts w:ascii="Arial" w:hAnsi="Arial" w:cs="Arial"/>
          <w:sz w:val="20"/>
          <w:szCs w:val="20"/>
        </w:rPr>
      </w:pPr>
      <w:r w:rsidRPr="000F2092">
        <w:rPr>
          <w:rFonts w:ascii="Arial" w:hAnsi="Arial" w:cs="Arial"/>
          <w:sz w:val="20"/>
          <w:szCs w:val="20"/>
        </w:rPr>
        <w:t>The AESO appreciates stakeholders’ ongoing participation and feedback in this initiative. Information from the slide deck</w:t>
      </w:r>
      <w:r w:rsidR="0096181E">
        <w:rPr>
          <w:rFonts w:ascii="Arial" w:hAnsi="Arial" w:cs="Arial"/>
          <w:sz w:val="20"/>
          <w:szCs w:val="20"/>
        </w:rPr>
        <w:t>s</w:t>
      </w:r>
      <w:r w:rsidRPr="000F2092">
        <w:rPr>
          <w:rFonts w:ascii="Arial" w:hAnsi="Arial" w:cs="Arial"/>
          <w:sz w:val="20"/>
          <w:szCs w:val="20"/>
        </w:rPr>
        <w:t xml:space="preserve"> presented during the three Stakeholder sessions</w:t>
      </w:r>
      <w:r w:rsidR="00D82EBD">
        <w:rPr>
          <w:rFonts w:ascii="Arial" w:hAnsi="Arial" w:cs="Arial"/>
          <w:sz w:val="20"/>
          <w:szCs w:val="20"/>
        </w:rPr>
        <w:t xml:space="preserve"> </w:t>
      </w:r>
      <w:r w:rsidRPr="000F2092">
        <w:rPr>
          <w:rFonts w:ascii="Arial" w:hAnsi="Arial" w:cs="Arial"/>
          <w:sz w:val="20"/>
          <w:szCs w:val="20"/>
        </w:rPr>
        <w:t xml:space="preserve">is available on aeso.ca </w:t>
      </w:r>
      <w:r w:rsidR="0096181E">
        <w:rPr>
          <w:rFonts w:ascii="Arial" w:hAnsi="Arial" w:cs="Arial"/>
          <w:sz w:val="20"/>
          <w:szCs w:val="20"/>
        </w:rPr>
        <w:t xml:space="preserve">and </w:t>
      </w:r>
      <w:r w:rsidRPr="000F2092">
        <w:rPr>
          <w:rFonts w:ascii="Arial" w:hAnsi="Arial" w:cs="Arial"/>
          <w:sz w:val="20"/>
          <w:szCs w:val="20"/>
        </w:rPr>
        <w:t>may be helpful in responding to the questions below. Additionally, the AESO posted a supplementary document on the proposed alternatives for standby reserve pricing.</w:t>
      </w:r>
    </w:p>
    <w:p w14:paraId="7CFEC237" w14:textId="10244AC2" w:rsidR="00B95BB0" w:rsidRPr="000F2092" w:rsidRDefault="000F2092" w:rsidP="000F2092">
      <w:pPr>
        <w:widowControl w:val="0"/>
        <w:spacing w:before="120" w:after="120"/>
        <w:rPr>
          <w:rFonts w:ascii="Arial" w:hAnsi="Arial" w:cs="Arial"/>
          <w:b/>
          <w:bCs/>
          <w:sz w:val="20"/>
          <w:szCs w:val="20"/>
        </w:rPr>
      </w:pPr>
      <w:r w:rsidRPr="000F2092">
        <w:rPr>
          <w:rFonts w:ascii="Arial" w:hAnsi="Arial" w:cs="Arial"/>
          <w:sz w:val="20"/>
          <w:szCs w:val="20"/>
        </w:rPr>
        <w:t>In consideration of the London Economics report submitted by TransAlta, the AESO will be conducting further process on moving to a sealed-bid auction format. Therefore, the AESO is not seeking feedback on this topic through this matrix. The AESO will advise stakeholders on this additional process in the coming weeks.</w:t>
      </w:r>
    </w:p>
    <w:tbl>
      <w:tblPr>
        <w:tblW w:w="136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57"/>
        <w:gridCol w:w="6613"/>
        <w:gridCol w:w="6210"/>
      </w:tblGrid>
      <w:tr w:rsidR="00C43AA5" w:rsidRPr="00C43AA5" w14:paraId="78C64BFA" w14:textId="77777777" w:rsidTr="00955BA0">
        <w:trPr>
          <w:tblHeader/>
        </w:trPr>
        <w:tc>
          <w:tcPr>
            <w:tcW w:w="857" w:type="dxa"/>
            <w:shd w:val="clear" w:color="auto" w:fill="365F91"/>
          </w:tcPr>
          <w:p w14:paraId="4B05581C" w14:textId="77777777" w:rsidR="00C43AA5" w:rsidRPr="00C43AA5" w:rsidRDefault="00C43AA5" w:rsidP="00C43AA5">
            <w:pPr>
              <w:keepNext/>
              <w:spacing w:before="120" w:after="12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bookmarkStart w:id="3" w:name="_Hlk89258949"/>
          </w:p>
        </w:tc>
        <w:tc>
          <w:tcPr>
            <w:tcW w:w="6613" w:type="dxa"/>
            <w:shd w:val="clear" w:color="auto" w:fill="365F91"/>
          </w:tcPr>
          <w:p w14:paraId="271202D0" w14:textId="77777777" w:rsidR="00C43AA5" w:rsidRPr="00C43AA5" w:rsidRDefault="00C43AA5" w:rsidP="00C43AA5">
            <w:pPr>
              <w:keepNext/>
              <w:spacing w:before="120" w:after="12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43AA5">
              <w:rPr>
                <w:rFonts w:ascii="Arial" w:hAnsi="Arial" w:cs="Arial"/>
                <w:b/>
                <w:color w:val="FFFFFF"/>
                <w:sz w:val="20"/>
                <w:szCs w:val="20"/>
              </w:rPr>
              <w:t>Questions</w:t>
            </w:r>
          </w:p>
        </w:tc>
        <w:tc>
          <w:tcPr>
            <w:tcW w:w="6210" w:type="dxa"/>
            <w:shd w:val="clear" w:color="auto" w:fill="365F91"/>
          </w:tcPr>
          <w:p w14:paraId="7902BAD4" w14:textId="77777777" w:rsidR="00C43AA5" w:rsidRPr="00C43AA5" w:rsidRDefault="00C43AA5" w:rsidP="00C43AA5">
            <w:pPr>
              <w:keepNext/>
              <w:spacing w:before="120" w:after="120"/>
              <w:ind w:left="15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43AA5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Stakeholder Comments </w:t>
            </w:r>
          </w:p>
        </w:tc>
      </w:tr>
      <w:tr w:rsidR="00C43AA5" w:rsidRPr="00C43AA5" w14:paraId="6F49552A" w14:textId="77777777" w:rsidTr="00955BA0">
        <w:trPr>
          <w:trHeight w:val="923"/>
        </w:trPr>
        <w:tc>
          <w:tcPr>
            <w:tcW w:w="857" w:type="dxa"/>
            <w:shd w:val="clear" w:color="auto" w:fill="auto"/>
          </w:tcPr>
          <w:p w14:paraId="128D096D" w14:textId="53406E82" w:rsidR="00C43AA5" w:rsidRPr="00C43AA5" w:rsidRDefault="00E8223A" w:rsidP="00C43AA5">
            <w:pPr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613" w:type="dxa"/>
          </w:tcPr>
          <w:p w14:paraId="6C41CAC0" w14:textId="77777777" w:rsidR="00122345" w:rsidRDefault="00122345" w:rsidP="00C43AA5">
            <w:pPr>
              <w:widowControl w:val="0"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Equilibrium pricing &amp; AESO bid price</w:t>
            </w:r>
          </w:p>
          <w:p w14:paraId="0F177A2A" w14:textId="1283FB06" w:rsidR="00C43AA5" w:rsidRPr="00122345" w:rsidRDefault="00C43AA5" w:rsidP="00C43AA5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22345">
              <w:rPr>
                <w:rFonts w:ascii="Arial" w:hAnsi="Arial" w:cs="Arial"/>
                <w:sz w:val="20"/>
                <w:szCs w:val="20"/>
                <w:u w:val="single"/>
              </w:rPr>
              <w:t>AESO bid price</w:t>
            </w:r>
            <w:r w:rsidR="00EA5653" w:rsidRPr="00122345">
              <w:rPr>
                <w:rFonts w:ascii="Arial" w:hAnsi="Arial" w:cs="Arial"/>
                <w:sz w:val="20"/>
                <w:szCs w:val="20"/>
                <w:u w:val="single"/>
              </w:rPr>
              <w:t>s</w:t>
            </w:r>
          </w:p>
          <w:p w14:paraId="47AF4B13" w14:textId="115EDDFF" w:rsidR="002E6907" w:rsidRPr="00C43AA5" w:rsidRDefault="00EA5653" w:rsidP="00C43AA5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have any feedback on the draft recommendation to set AESO bid prices of $150/MWh for regulating reserves and $50/MWh for spinning and supplemental reserves?</w:t>
            </w:r>
          </w:p>
        </w:tc>
        <w:tc>
          <w:tcPr>
            <w:tcW w:w="6210" w:type="dxa"/>
            <w:shd w:val="clear" w:color="auto" w:fill="auto"/>
          </w:tcPr>
          <w:p w14:paraId="2AE005C0" w14:textId="0678BAC8" w:rsidR="0064000A" w:rsidRPr="00C43AA5" w:rsidRDefault="0064000A" w:rsidP="0064000A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AA5" w:rsidRPr="00C43AA5" w14:paraId="1404F1CC" w14:textId="77777777" w:rsidTr="00955BA0">
        <w:trPr>
          <w:trHeight w:val="363"/>
        </w:trPr>
        <w:tc>
          <w:tcPr>
            <w:tcW w:w="857" w:type="dxa"/>
            <w:shd w:val="clear" w:color="auto" w:fill="auto"/>
          </w:tcPr>
          <w:p w14:paraId="6B5511DC" w14:textId="4404B3AA" w:rsidR="00C43AA5" w:rsidRPr="00C43AA5" w:rsidRDefault="00E8223A" w:rsidP="00C43AA5">
            <w:pPr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13" w:type="dxa"/>
          </w:tcPr>
          <w:p w14:paraId="38E91A1E" w14:textId="71A65C60" w:rsidR="00122345" w:rsidRDefault="00122345" w:rsidP="00C43AA5">
            <w:pPr>
              <w:widowControl w:val="0"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Offer transparency</w:t>
            </w:r>
          </w:p>
          <w:p w14:paraId="6F65D3D4" w14:textId="22D46CB6" w:rsidR="00C43AA5" w:rsidRPr="00122345" w:rsidRDefault="00762D25" w:rsidP="00C43AA5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Inflexible blocks</w:t>
            </w:r>
          </w:p>
          <w:p w14:paraId="399B0A73" w14:textId="6A0A70BD" w:rsidR="002E6907" w:rsidRPr="00C43AA5" w:rsidRDefault="002C52BB" w:rsidP="00C43AA5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Some stakeholder</w:t>
            </w:r>
            <w:r w:rsidR="00005A20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expressed</w:t>
            </w:r>
            <w:r w:rsidR="00762D25">
              <w:rPr>
                <w:rFonts w:ascii="Arial" w:hAnsi="Arial" w:cs="Arial"/>
                <w:sz w:val="20"/>
                <w:szCs w:val="20"/>
              </w:rPr>
              <w:t xml:space="preserve"> concerns </w:t>
            </w:r>
            <w:r w:rsidR="008B0E96">
              <w:rPr>
                <w:rFonts w:ascii="Arial" w:hAnsi="Arial" w:cs="Arial"/>
                <w:sz w:val="20"/>
                <w:szCs w:val="20"/>
              </w:rPr>
              <w:t>that</w:t>
            </w:r>
            <w:r w:rsidR="008D47BE">
              <w:rPr>
                <w:rFonts w:ascii="Arial" w:hAnsi="Arial" w:cs="Arial"/>
                <w:sz w:val="20"/>
                <w:szCs w:val="20"/>
              </w:rPr>
              <w:t xml:space="preserve"> the ability to opt-out of partial clearing </w:t>
            </w:r>
            <w:r w:rsidR="00DD6D84">
              <w:rPr>
                <w:rFonts w:ascii="Arial" w:hAnsi="Arial" w:cs="Arial"/>
                <w:sz w:val="20"/>
                <w:szCs w:val="20"/>
              </w:rPr>
              <w:t xml:space="preserve">will </w:t>
            </w:r>
            <w:r w:rsidR="008B0E96">
              <w:rPr>
                <w:rFonts w:ascii="Arial" w:hAnsi="Arial" w:cs="Arial"/>
                <w:sz w:val="20"/>
                <w:szCs w:val="20"/>
              </w:rPr>
              <w:t xml:space="preserve">negatively </w:t>
            </w:r>
            <w:r w:rsidR="00DD6D84">
              <w:rPr>
                <w:rFonts w:ascii="Arial" w:hAnsi="Arial" w:cs="Arial"/>
                <w:sz w:val="20"/>
                <w:szCs w:val="20"/>
              </w:rPr>
              <w:t>impact the market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DD6D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5A20">
              <w:rPr>
                <w:rFonts w:ascii="Arial" w:hAnsi="Arial" w:cs="Arial"/>
                <w:sz w:val="20"/>
                <w:szCs w:val="20"/>
              </w:rPr>
              <w:t>D</w:t>
            </w:r>
            <w:r w:rsidR="00DD6D84">
              <w:rPr>
                <w:rFonts w:ascii="Arial" w:hAnsi="Arial" w:cs="Arial"/>
                <w:sz w:val="20"/>
                <w:szCs w:val="20"/>
              </w:rPr>
              <w:t xml:space="preserve">o you have any </w:t>
            </w:r>
            <w:r w:rsidR="00005A20">
              <w:rPr>
                <w:rFonts w:ascii="Arial" w:hAnsi="Arial" w:cs="Arial"/>
                <w:sz w:val="20"/>
                <w:szCs w:val="20"/>
              </w:rPr>
              <w:t xml:space="preserve">further information or </w:t>
            </w:r>
            <w:r w:rsidR="00DD6D84">
              <w:rPr>
                <w:rFonts w:ascii="Arial" w:hAnsi="Arial" w:cs="Arial"/>
                <w:sz w:val="20"/>
                <w:szCs w:val="20"/>
              </w:rPr>
              <w:t>specific examples</w:t>
            </w:r>
            <w:r w:rsidR="00233B2B">
              <w:rPr>
                <w:rFonts w:ascii="Arial" w:hAnsi="Arial" w:cs="Arial"/>
                <w:sz w:val="20"/>
                <w:szCs w:val="20"/>
              </w:rPr>
              <w:t xml:space="preserve"> to substantiate this concern</w:t>
            </w:r>
            <w:r w:rsidR="009F4CF4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6210" w:type="dxa"/>
            <w:shd w:val="clear" w:color="auto" w:fill="auto"/>
          </w:tcPr>
          <w:p w14:paraId="0BECBC6A" w14:textId="77777777" w:rsidR="00C43AA5" w:rsidRPr="00C43AA5" w:rsidRDefault="00C43AA5" w:rsidP="00C43AA5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AA5" w:rsidRPr="00C43AA5" w14:paraId="434EB44A" w14:textId="77777777" w:rsidTr="00955BA0">
        <w:trPr>
          <w:trHeight w:val="363"/>
        </w:trPr>
        <w:tc>
          <w:tcPr>
            <w:tcW w:w="857" w:type="dxa"/>
            <w:shd w:val="clear" w:color="auto" w:fill="auto"/>
          </w:tcPr>
          <w:p w14:paraId="1CBCD6EF" w14:textId="174D3955" w:rsidR="00C43AA5" w:rsidRPr="00C43AA5" w:rsidRDefault="00E8223A" w:rsidP="00C43AA5">
            <w:pPr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13" w:type="dxa"/>
          </w:tcPr>
          <w:p w14:paraId="5B5BEA11" w14:textId="77777777" w:rsidR="00122345" w:rsidRDefault="00122345" w:rsidP="00C43AA5">
            <w:pPr>
              <w:widowControl w:val="0"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Offer transparency</w:t>
            </w:r>
          </w:p>
          <w:p w14:paraId="1B47BA39" w14:textId="5966E494" w:rsidR="00C43AA5" w:rsidRPr="00122345" w:rsidRDefault="00EA5653" w:rsidP="00C43AA5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22345">
              <w:rPr>
                <w:rFonts w:ascii="Arial" w:hAnsi="Arial" w:cs="Arial"/>
                <w:sz w:val="20"/>
                <w:szCs w:val="20"/>
                <w:u w:val="single"/>
              </w:rPr>
              <w:t>Tie-break for equal priced marginal offers</w:t>
            </w:r>
          </w:p>
          <w:p w14:paraId="688072E8" w14:textId="5ADF1292" w:rsidR="00783352" w:rsidRDefault="00CB70B7" w:rsidP="00783352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The AESO’s draft recommendation is to divide</w:t>
            </w:r>
            <w:r w:rsidR="00B972E1">
              <w:rPr>
                <w:rFonts w:ascii="Arial" w:hAnsi="Arial" w:cs="Arial"/>
                <w:sz w:val="20"/>
                <w:szCs w:val="20"/>
              </w:rPr>
              <w:t xml:space="preserve"> volume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72E1">
              <w:rPr>
                <w:rFonts w:ascii="Arial" w:hAnsi="Arial" w:cs="Arial"/>
                <w:sz w:val="20"/>
                <w:szCs w:val="20"/>
              </w:rPr>
              <w:t xml:space="preserve">between </w:t>
            </w:r>
            <w:r w:rsidR="007F6D2A">
              <w:rPr>
                <w:rFonts w:ascii="Arial" w:hAnsi="Arial" w:cs="Arial"/>
                <w:sz w:val="20"/>
                <w:szCs w:val="20"/>
              </w:rPr>
              <w:t>equal</w:t>
            </w:r>
            <w:r w:rsidR="00D80158">
              <w:rPr>
                <w:rFonts w:ascii="Arial" w:hAnsi="Arial" w:cs="Arial"/>
                <w:sz w:val="20"/>
                <w:szCs w:val="20"/>
              </w:rPr>
              <w:t xml:space="preserve">ly </w:t>
            </w:r>
            <w:r w:rsidR="007F6D2A">
              <w:rPr>
                <w:rFonts w:ascii="Arial" w:hAnsi="Arial" w:cs="Arial"/>
                <w:sz w:val="20"/>
                <w:szCs w:val="20"/>
              </w:rPr>
              <w:t>priced marginal offers</w:t>
            </w:r>
            <w:r w:rsidR="00E15E61">
              <w:rPr>
                <w:rFonts w:ascii="Arial" w:hAnsi="Arial" w:cs="Arial"/>
                <w:sz w:val="20"/>
                <w:szCs w:val="20"/>
              </w:rPr>
              <w:t xml:space="preserve"> instead of </w:t>
            </w:r>
            <w:proofErr w:type="spellStart"/>
            <w:r w:rsidR="00E15E61">
              <w:rPr>
                <w:rFonts w:ascii="Arial" w:hAnsi="Arial" w:cs="Arial"/>
                <w:sz w:val="20"/>
                <w:szCs w:val="20"/>
              </w:rPr>
              <w:t>favouring</w:t>
            </w:r>
            <w:proofErr w:type="spellEnd"/>
            <w:r w:rsidR="00E15E61">
              <w:rPr>
                <w:rFonts w:ascii="Arial" w:hAnsi="Arial" w:cs="Arial"/>
                <w:sz w:val="20"/>
                <w:szCs w:val="20"/>
              </w:rPr>
              <w:t xml:space="preserve"> the earliest submitted offer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D801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3DF5">
              <w:rPr>
                <w:rFonts w:ascii="Arial" w:hAnsi="Arial" w:cs="Arial"/>
                <w:sz w:val="20"/>
                <w:szCs w:val="20"/>
              </w:rPr>
              <w:t>Should t</w:t>
            </w:r>
            <w:r w:rsidR="00D80158">
              <w:rPr>
                <w:rFonts w:ascii="Arial" w:hAnsi="Arial" w:cs="Arial"/>
                <w:sz w:val="20"/>
                <w:szCs w:val="20"/>
              </w:rPr>
              <w:t xml:space="preserve">his </w:t>
            </w:r>
            <w:r w:rsidR="002D6F17">
              <w:rPr>
                <w:rFonts w:ascii="Arial" w:hAnsi="Arial" w:cs="Arial"/>
                <w:sz w:val="20"/>
                <w:szCs w:val="20"/>
              </w:rPr>
              <w:t xml:space="preserve">volume </w:t>
            </w:r>
            <w:r w:rsidR="00213DF5">
              <w:rPr>
                <w:rFonts w:ascii="Arial" w:hAnsi="Arial" w:cs="Arial"/>
                <w:sz w:val="20"/>
                <w:szCs w:val="20"/>
              </w:rPr>
              <w:t>be</w:t>
            </w:r>
            <w:r w:rsidR="002D6F17">
              <w:rPr>
                <w:rFonts w:ascii="Arial" w:hAnsi="Arial" w:cs="Arial"/>
                <w:sz w:val="20"/>
                <w:szCs w:val="20"/>
              </w:rPr>
              <w:t xml:space="preserve"> divided evenly, or proportionately to the size of the offered volume?</w:t>
            </w:r>
            <w:r w:rsidR="0080185B">
              <w:rPr>
                <w:rFonts w:ascii="Arial" w:hAnsi="Arial" w:cs="Arial"/>
                <w:sz w:val="20"/>
                <w:szCs w:val="20"/>
              </w:rPr>
              <w:t xml:space="preserve"> For example, if </w:t>
            </w:r>
            <w:r w:rsidR="00EA223F">
              <w:rPr>
                <w:rFonts w:ascii="Arial" w:hAnsi="Arial" w:cs="Arial"/>
                <w:sz w:val="20"/>
                <w:szCs w:val="20"/>
              </w:rPr>
              <w:t>10 MW were needed from equally priced offers of 20 MW and 80 MW, an even split would allocate 5 MW to each offer and a proportional split would allocate 2 MW to the 20 MW offer and 8 MW to the 80 MW offer.</w:t>
            </w:r>
          </w:p>
          <w:p w14:paraId="138E4EAB" w14:textId="14A9784F" w:rsidR="003B0CD7" w:rsidRPr="00C43AA5" w:rsidRDefault="003B0CD7" w:rsidP="00783352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cases when th</w:t>
            </w:r>
            <w:r w:rsidR="001B3BFF">
              <w:rPr>
                <w:rFonts w:ascii="Arial" w:hAnsi="Arial" w:cs="Arial"/>
                <w:sz w:val="20"/>
                <w:szCs w:val="20"/>
              </w:rPr>
              <w:t xml:space="preserve">e even or proportional division is not possible using whole megawatts, the AESO’s draft recommendation is to </w:t>
            </w:r>
            <w:r w:rsidR="000C058B">
              <w:rPr>
                <w:rFonts w:ascii="Arial" w:hAnsi="Arial" w:cs="Arial"/>
                <w:sz w:val="20"/>
                <w:szCs w:val="20"/>
              </w:rPr>
              <w:t xml:space="preserve">use </w:t>
            </w:r>
            <w:r w:rsidR="00DC2008">
              <w:rPr>
                <w:rFonts w:ascii="Arial" w:hAnsi="Arial" w:cs="Arial"/>
                <w:sz w:val="20"/>
                <w:szCs w:val="20"/>
              </w:rPr>
              <w:t>submission time as a secondary tie break</w:t>
            </w:r>
            <w:r w:rsidR="00F1360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F1360B">
              <w:rPr>
                <w:rFonts w:ascii="Arial" w:hAnsi="Arial" w:cs="Arial"/>
                <w:sz w:val="20"/>
                <w:szCs w:val="20"/>
              </w:rPr>
              <w:t>favouring</w:t>
            </w:r>
            <w:proofErr w:type="spellEnd"/>
            <w:r w:rsidR="00F1360B">
              <w:rPr>
                <w:rFonts w:ascii="Arial" w:hAnsi="Arial" w:cs="Arial"/>
                <w:sz w:val="20"/>
                <w:szCs w:val="20"/>
              </w:rPr>
              <w:t xml:space="preserve"> the earliest submitted offers. This secondary tie break would </w:t>
            </w:r>
            <w:r w:rsidR="0078564E">
              <w:rPr>
                <w:rFonts w:ascii="Arial" w:hAnsi="Arial" w:cs="Arial"/>
                <w:sz w:val="20"/>
                <w:szCs w:val="20"/>
              </w:rPr>
              <w:t xml:space="preserve">only </w:t>
            </w:r>
            <w:r w:rsidR="000F1E3A">
              <w:rPr>
                <w:rFonts w:ascii="Arial" w:hAnsi="Arial" w:cs="Arial"/>
                <w:sz w:val="20"/>
                <w:szCs w:val="20"/>
              </w:rPr>
              <w:t>be necessary to allocate residual megawatts</w:t>
            </w:r>
            <w:r w:rsidR="0078564E">
              <w:rPr>
                <w:rFonts w:ascii="Arial" w:hAnsi="Arial" w:cs="Arial"/>
                <w:sz w:val="20"/>
                <w:szCs w:val="20"/>
              </w:rPr>
              <w:t xml:space="preserve"> after allocating based on the </w:t>
            </w:r>
            <w:r w:rsidR="00213DF5">
              <w:rPr>
                <w:rFonts w:ascii="Arial" w:hAnsi="Arial" w:cs="Arial"/>
                <w:sz w:val="20"/>
                <w:szCs w:val="20"/>
              </w:rPr>
              <w:t>even or proportional split.</w:t>
            </w:r>
            <w:r w:rsidR="006171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6F78">
              <w:rPr>
                <w:rFonts w:ascii="Arial" w:hAnsi="Arial" w:cs="Arial"/>
                <w:sz w:val="20"/>
                <w:szCs w:val="20"/>
              </w:rPr>
              <w:t>Do you have any feedback or alternatives to this proposal?</w:t>
            </w:r>
          </w:p>
        </w:tc>
        <w:tc>
          <w:tcPr>
            <w:tcW w:w="6210" w:type="dxa"/>
            <w:shd w:val="clear" w:color="auto" w:fill="auto"/>
          </w:tcPr>
          <w:p w14:paraId="556CA04E" w14:textId="77777777" w:rsidR="00C43AA5" w:rsidRPr="00C43AA5" w:rsidRDefault="00C43AA5" w:rsidP="00C43AA5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AA5" w:rsidRPr="00C43AA5" w14:paraId="4CF6EB40" w14:textId="77777777" w:rsidTr="00955BA0">
        <w:trPr>
          <w:trHeight w:val="231"/>
        </w:trPr>
        <w:tc>
          <w:tcPr>
            <w:tcW w:w="857" w:type="dxa"/>
            <w:shd w:val="clear" w:color="auto" w:fill="auto"/>
          </w:tcPr>
          <w:p w14:paraId="3D676090" w14:textId="10587E1A" w:rsidR="00C43AA5" w:rsidRPr="00C43AA5" w:rsidRDefault="00E8223A" w:rsidP="00C43AA5">
            <w:pPr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13" w:type="dxa"/>
          </w:tcPr>
          <w:p w14:paraId="64D03D78" w14:textId="1C30A17D" w:rsidR="00122345" w:rsidRDefault="00122345" w:rsidP="00C43AA5">
            <w:pPr>
              <w:widowControl w:val="0"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Minimum qualification &amp; offer size</w:t>
            </w:r>
          </w:p>
          <w:p w14:paraId="08FFCB98" w14:textId="702F6205" w:rsidR="00C43AA5" w:rsidRPr="00122345" w:rsidRDefault="00EA5653" w:rsidP="00C43AA5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22345">
              <w:rPr>
                <w:rFonts w:ascii="Arial" w:hAnsi="Arial" w:cs="Arial"/>
                <w:sz w:val="20"/>
                <w:szCs w:val="20"/>
                <w:u w:val="single"/>
              </w:rPr>
              <w:t>Directive tolerance</w:t>
            </w:r>
          </w:p>
          <w:p w14:paraId="41F03A72" w14:textId="4E0783FA" w:rsidR="00620042" w:rsidRPr="00C43AA5" w:rsidRDefault="00EA5653" w:rsidP="00C43AA5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have any feedback on the draft recommendation to set directive tolerance of 5% of maximum capability for assets with maximum capability &lt;= 200 MW and 10 MW for assets with maximum capability &gt; 200 MW?</w:t>
            </w:r>
          </w:p>
        </w:tc>
        <w:tc>
          <w:tcPr>
            <w:tcW w:w="6210" w:type="dxa"/>
            <w:shd w:val="clear" w:color="auto" w:fill="auto"/>
          </w:tcPr>
          <w:p w14:paraId="37FF01DA" w14:textId="77777777" w:rsidR="00C43AA5" w:rsidRPr="00C43AA5" w:rsidRDefault="00C43AA5" w:rsidP="00C43AA5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AA5" w:rsidRPr="00C43AA5" w14:paraId="17BBF16F" w14:textId="77777777" w:rsidTr="00955BA0">
        <w:trPr>
          <w:trHeight w:val="231"/>
        </w:trPr>
        <w:tc>
          <w:tcPr>
            <w:tcW w:w="857" w:type="dxa"/>
            <w:shd w:val="clear" w:color="auto" w:fill="auto"/>
          </w:tcPr>
          <w:p w14:paraId="37ABD509" w14:textId="1A782D56" w:rsidR="00C43AA5" w:rsidRPr="00C43AA5" w:rsidRDefault="00E8223A" w:rsidP="00C43AA5">
            <w:pPr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613" w:type="dxa"/>
          </w:tcPr>
          <w:p w14:paraId="7F8A4A6D" w14:textId="10AFE6CB" w:rsidR="00C43AA5" w:rsidRDefault="00122345" w:rsidP="0068027E">
            <w:pPr>
              <w:widowControl w:val="0"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Hourly procurement</w:t>
            </w:r>
          </w:p>
          <w:p w14:paraId="4735BDEE" w14:textId="6E6D07B3" w:rsidR="00122345" w:rsidRPr="00122345" w:rsidRDefault="00122345" w:rsidP="0068027E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Maximized participation</w:t>
            </w:r>
          </w:p>
          <w:p w14:paraId="56188B7E" w14:textId="293EB7CA" w:rsidR="004669D1" w:rsidRPr="00C43AA5" w:rsidRDefault="00225EBD" w:rsidP="0068027E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With reserves still procured day-ahead, would </w:t>
            </w:r>
            <w:r w:rsidR="00DD392C">
              <w:rPr>
                <w:rFonts w:ascii="Arial" w:hAnsi="Arial" w:cs="Arial"/>
                <w:sz w:val="20"/>
                <w:szCs w:val="20"/>
              </w:rPr>
              <w:t>your participation be maximized under hourly procurement</w:t>
            </w:r>
            <w:r w:rsidR="008911E6">
              <w:rPr>
                <w:rFonts w:ascii="Arial" w:hAnsi="Arial" w:cs="Arial"/>
                <w:sz w:val="20"/>
                <w:szCs w:val="20"/>
              </w:rPr>
              <w:t xml:space="preserve">, where participants offer for each hour separately, </w:t>
            </w:r>
            <w:r w:rsidR="00DD392C">
              <w:rPr>
                <w:rFonts w:ascii="Arial" w:hAnsi="Arial" w:cs="Arial"/>
                <w:sz w:val="20"/>
                <w:szCs w:val="20"/>
              </w:rPr>
              <w:t>or block procurement</w:t>
            </w:r>
            <w:r w:rsidR="008911E6">
              <w:rPr>
                <w:rFonts w:ascii="Arial" w:hAnsi="Arial" w:cs="Arial"/>
                <w:sz w:val="20"/>
                <w:szCs w:val="20"/>
              </w:rPr>
              <w:t xml:space="preserve">, where </w:t>
            </w:r>
            <w:r w:rsidR="008200BF">
              <w:rPr>
                <w:rFonts w:ascii="Arial" w:hAnsi="Arial" w:cs="Arial"/>
                <w:sz w:val="20"/>
                <w:szCs w:val="20"/>
              </w:rPr>
              <w:t>reserves continue to be procured in blocks as they are defined today</w:t>
            </w:r>
            <w:r w:rsidR="00DD392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6210" w:type="dxa"/>
            <w:shd w:val="clear" w:color="auto" w:fill="auto"/>
          </w:tcPr>
          <w:p w14:paraId="06AC36B8" w14:textId="77777777" w:rsidR="00C43AA5" w:rsidRPr="00C43AA5" w:rsidRDefault="00C43AA5" w:rsidP="00C43AA5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027E" w:rsidRPr="00C43AA5" w14:paraId="65798B72" w14:textId="77777777" w:rsidTr="00955BA0">
        <w:trPr>
          <w:trHeight w:val="231"/>
        </w:trPr>
        <w:tc>
          <w:tcPr>
            <w:tcW w:w="857" w:type="dxa"/>
            <w:shd w:val="clear" w:color="auto" w:fill="auto"/>
          </w:tcPr>
          <w:p w14:paraId="61A0EC0D" w14:textId="56DB9A07" w:rsidR="0068027E" w:rsidRPr="00C43AA5" w:rsidRDefault="00E8223A" w:rsidP="00C43AA5">
            <w:pPr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613" w:type="dxa"/>
          </w:tcPr>
          <w:p w14:paraId="3AE861E2" w14:textId="77777777" w:rsidR="00D33A4D" w:rsidRDefault="00122345" w:rsidP="0068027E">
            <w:pPr>
              <w:keepNext/>
              <w:widowControl w:val="0"/>
              <w:spacing w:before="120" w:after="120"/>
              <w:ind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Hourly procurement</w:t>
            </w:r>
          </w:p>
          <w:p w14:paraId="39948076" w14:textId="77777777" w:rsidR="00122345" w:rsidRDefault="00122345" w:rsidP="0068027E">
            <w:pPr>
              <w:keepNext/>
              <w:widowControl w:val="0"/>
              <w:spacing w:before="120" w:after="120"/>
              <w:ind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Auction duration and format</w:t>
            </w:r>
          </w:p>
          <w:p w14:paraId="758CA45B" w14:textId="023ECDBE" w:rsidR="00122345" w:rsidRPr="00122345" w:rsidRDefault="008911E6" w:rsidP="0068027E">
            <w:pPr>
              <w:keepNext/>
              <w:widowControl w:val="0"/>
              <w:spacing w:before="120" w:after="120"/>
              <w:ind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hourly procurement were pursued, would longer than 10 minutes be needed in each procurement in the day-ahead market for you to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effectively participate? </w:t>
            </w:r>
            <w:r w:rsidR="008200BF">
              <w:rPr>
                <w:rFonts w:ascii="Arial" w:hAnsi="Arial" w:cs="Arial"/>
                <w:sz w:val="20"/>
                <w:szCs w:val="20"/>
              </w:rPr>
              <w:t xml:space="preserve">If so, what duration would you prefer? </w:t>
            </w:r>
            <w:r>
              <w:rPr>
                <w:rFonts w:ascii="Arial" w:hAnsi="Arial" w:cs="Arial"/>
                <w:sz w:val="20"/>
                <w:szCs w:val="20"/>
              </w:rPr>
              <w:t>Would any other changes to the timing or format of the procurement be helpful?</w:t>
            </w:r>
          </w:p>
        </w:tc>
        <w:tc>
          <w:tcPr>
            <w:tcW w:w="6210" w:type="dxa"/>
            <w:shd w:val="clear" w:color="auto" w:fill="auto"/>
          </w:tcPr>
          <w:p w14:paraId="2F8A3E01" w14:textId="77777777" w:rsidR="0068027E" w:rsidRPr="00C43AA5" w:rsidRDefault="0068027E" w:rsidP="00C43AA5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027E" w:rsidRPr="00C43AA5" w14:paraId="141BA202" w14:textId="77777777" w:rsidTr="00955BA0">
        <w:trPr>
          <w:trHeight w:val="231"/>
        </w:trPr>
        <w:tc>
          <w:tcPr>
            <w:tcW w:w="857" w:type="dxa"/>
            <w:shd w:val="clear" w:color="auto" w:fill="auto"/>
          </w:tcPr>
          <w:p w14:paraId="7065264A" w14:textId="3B44186D" w:rsidR="0068027E" w:rsidRPr="00C43AA5" w:rsidRDefault="00E8223A" w:rsidP="00C43AA5">
            <w:pPr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613" w:type="dxa"/>
          </w:tcPr>
          <w:p w14:paraId="4C0860E4" w14:textId="7CFAF126" w:rsidR="0068027E" w:rsidRPr="00122345" w:rsidRDefault="002E6907" w:rsidP="0068027E">
            <w:pPr>
              <w:keepNext/>
              <w:widowControl w:val="0"/>
              <w:spacing w:before="120" w:after="120"/>
              <w:ind w:right="15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2345">
              <w:rPr>
                <w:rFonts w:ascii="Arial" w:hAnsi="Arial" w:cs="Arial"/>
                <w:b/>
                <w:bCs/>
                <w:sz w:val="20"/>
                <w:szCs w:val="20"/>
              </w:rPr>
              <w:t>Standby reserve pricing</w:t>
            </w:r>
          </w:p>
          <w:p w14:paraId="303EC400" w14:textId="77777777" w:rsidR="00E93CEF" w:rsidRDefault="00122345" w:rsidP="0068027E">
            <w:pPr>
              <w:keepNext/>
              <w:widowControl w:val="0"/>
              <w:spacing w:before="120" w:after="120"/>
              <w:ind w:right="158"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Option 1 – </w:t>
            </w:r>
            <w: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Single-part offers with only an activation </w:t>
            </w:r>
            <w:r w:rsidRPr="00BF7448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price</w:t>
            </w:r>
          </w:p>
          <w:p w14:paraId="737ADD84" w14:textId="26888EF6" w:rsidR="00BF7448" w:rsidRPr="00BF7448" w:rsidRDefault="00BF7448" w:rsidP="0068027E">
            <w:pPr>
              <w:keepNext/>
              <w:widowControl w:val="0"/>
              <w:spacing w:before="120" w:after="120"/>
              <w:ind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have any feedback on Option 1 for standby pricing, as described in the supplementary document?</w:t>
            </w:r>
          </w:p>
        </w:tc>
        <w:tc>
          <w:tcPr>
            <w:tcW w:w="6210" w:type="dxa"/>
            <w:shd w:val="clear" w:color="auto" w:fill="auto"/>
          </w:tcPr>
          <w:p w14:paraId="4B90FBE0" w14:textId="77777777" w:rsidR="0068027E" w:rsidRPr="00C43AA5" w:rsidRDefault="0068027E" w:rsidP="00C43AA5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345" w:rsidRPr="00C43AA5" w14:paraId="11A667F1" w14:textId="77777777" w:rsidTr="00955BA0">
        <w:trPr>
          <w:trHeight w:val="231"/>
        </w:trPr>
        <w:tc>
          <w:tcPr>
            <w:tcW w:w="857" w:type="dxa"/>
            <w:shd w:val="clear" w:color="auto" w:fill="auto"/>
          </w:tcPr>
          <w:p w14:paraId="2CE43497" w14:textId="3E67A1AE" w:rsidR="00122345" w:rsidRDefault="008200BF" w:rsidP="00C43AA5">
            <w:pPr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613" w:type="dxa"/>
          </w:tcPr>
          <w:p w14:paraId="7F0869D6" w14:textId="77777777" w:rsidR="00BF7448" w:rsidRPr="00122345" w:rsidRDefault="00BF7448" w:rsidP="00BF7448">
            <w:pPr>
              <w:keepNext/>
              <w:widowControl w:val="0"/>
              <w:spacing w:before="120" w:after="120"/>
              <w:ind w:right="15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2345">
              <w:rPr>
                <w:rFonts w:ascii="Arial" w:hAnsi="Arial" w:cs="Arial"/>
                <w:b/>
                <w:bCs/>
                <w:sz w:val="20"/>
                <w:szCs w:val="20"/>
              </w:rPr>
              <w:t>Standby reserve pricing</w:t>
            </w:r>
          </w:p>
          <w:p w14:paraId="38D194A5" w14:textId="77777777" w:rsidR="00122345" w:rsidRDefault="00BF7448" w:rsidP="0068027E">
            <w:pPr>
              <w:keepNext/>
              <w:widowControl w:val="0"/>
              <w:spacing w:before="120" w:after="120"/>
              <w:ind w:right="158"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Option 2 – </w:t>
            </w:r>
            <w: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Single-part offers with only a premium </w:t>
            </w:r>
            <w:r w:rsidRPr="00BF7448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price</w:t>
            </w:r>
          </w:p>
          <w:p w14:paraId="316B32AD" w14:textId="77777777" w:rsidR="00BF7448" w:rsidRDefault="00BF7448" w:rsidP="0068027E">
            <w:pPr>
              <w:keepNext/>
              <w:widowControl w:val="0"/>
              <w:spacing w:before="120" w:after="120"/>
              <w:ind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have any feedback on Option 2 for standby pricing, as described in the supplementary document?</w:t>
            </w:r>
          </w:p>
          <w:p w14:paraId="49C25434" w14:textId="6AB00B58" w:rsidR="00BF7448" w:rsidRPr="00BF7448" w:rsidRDefault="00BF7448" w:rsidP="0068027E">
            <w:pPr>
              <w:keepNext/>
              <w:widowControl w:val="0"/>
              <w:spacing w:before="120" w:after="120"/>
              <w:ind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Option 2 were pursued, what mechanism should the AESO use to determine the order in which standby providers receive a dispatch?</w:t>
            </w:r>
          </w:p>
        </w:tc>
        <w:tc>
          <w:tcPr>
            <w:tcW w:w="6210" w:type="dxa"/>
            <w:shd w:val="clear" w:color="auto" w:fill="auto"/>
          </w:tcPr>
          <w:p w14:paraId="3F253671" w14:textId="77777777" w:rsidR="00122345" w:rsidRPr="00C43AA5" w:rsidRDefault="00122345" w:rsidP="00C43AA5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345" w:rsidRPr="00C43AA5" w14:paraId="07DFD202" w14:textId="77777777" w:rsidTr="00955BA0">
        <w:trPr>
          <w:trHeight w:val="231"/>
        </w:trPr>
        <w:tc>
          <w:tcPr>
            <w:tcW w:w="857" w:type="dxa"/>
            <w:shd w:val="clear" w:color="auto" w:fill="auto"/>
          </w:tcPr>
          <w:p w14:paraId="37EE48B1" w14:textId="28B257C6" w:rsidR="00122345" w:rsidRDefault="008200BF" w:rsidP="00C43AA5">
            <w:pPr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613" w:type="dxa"/>
          </w:tcPr>
          <w:p w14:paraId="6E0EFD3C" w14:textId="77777777" w:rsidR="00BF7448" w:rsidRPr="00122345" w:rsidRDefault="00BF7448" w:rsidP="00BF7448">
            <w:pPr>
              <w:keepNext/>
              <w:widowControl w:val="0"/>
              <w:spacing w:before="120" w:after="120"/>
              <w:ind w:right="15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2345">
              <w:rPr>
                <w:rFonts w:ascii="Arial" w:hAnsi="Arial" w:cs="Arial"/>
                <w:b/>
                <w:bCs/>
                <w:sz w:val="20"/>
                <w:szCs w:val="20"/>
              </w:rPr>
              <w:t>Standby reserve pricing</w:t>
            </w:r>
          </w:p>
          <w:p w14:paraId="37BED002" w14:textId="77777777" w:rsidR="00122345" w:rsidRDefault="00BF7448" w:rsidP="0068027E">
            <w:pPr>
              <w:keepNext/>
              <w:widowControl w:val="0"/>
              <w:spacing w:before="120" w:after="120"/>
              <w:ind w:right="158"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Option 3 – </w:t>
            </w:r>
            <w: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Two-part offers with an indexed activation price</w:t>
            </w:r>
          </w:p>
          <w:p w14:paraId="4B67745C" w14:textId="41EA48FD" w:rsidR="00BF7448" w:rsidRPr="00BF7448" w:rsidRDefault="00BF7448" w:rsidP="0068027E">
            <w:pPr>
              <w:keepNext/>
              <w:widowControl w:val="0"/>
              <w:spacing w:before="120" w:after="120"/>
              <w:ind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have any feedback on Option 3 for standby pricing, as described in the supplementary document?</w:t>
            </w:r>
          </w:p>
        </w:tc>
        <w:tc>
          <w:tcPr>
            <w:tcW w:w="6210" w:type="dxa"/>
            <w:shd w:val="clear" w:color="auto" w:fill="auto"/>
          </w:tcPr>
          <w:p w14:paraId="5AE7C0E4" w14:textId="77777777" w:rsidR="00122345" w:rsidRPr="00C43AA5" w:rsidRDefault="00122345" w:rsidP="00C43AA5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345" w:rsidRPr="00C43AA5" w14:paraId="24DA6B23" w14:textId="77777777" w:rsidTr="00955BA0">
        <w:trPr>
          <w:trHeight w:val="231"/>
        </w:trPr>
        <w:tc>
          <w:tcPr>
            <w:tcW w:w="857" w:type="dxa"/>
            <w:shd w:val="clear" w:color="auto" w:fill="auto"/>
          </w:tcPr>
          <w:p w14:paraId="30884EC6" w14:textId="4B3DF50E" w:rsidR="00122345" w:rsidRDefault="008200BF" w:rsidP="00C43AA5">
            <w:pPr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613" w:type="dxa"/>
          </w:tcPr>
          <w:p w14:paraId="5D583E00" w14:textId="77777777" w:rsidR="00BF7448" w:rsidRPr="00122345" w:rsidRDefault="00BF7448" w:rsidP="00BF7448">
            <w:pPr>
              <w:keepNext/>
              <w:widowControl w:val="0"/>
              <w:spacing w:before="120" w:after="120"/>
              <w:ind w:right="15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2345">
              <w:rPr>
                <w:rFonts w:ascii="Arial" w:hAnsi="Arial" w:cs="Arial"/>
                <w:b/>
                <w:bCs/>
                <w:sz w:val="20"/>
                <w:szCs w:val="20"/>
              </w:rPr>
              <w:t>Standby reserve pricing</w:t>
            </w:r>
          </w:p>
          <w:p w14:paraId="4731269D" w14:textId="77777777" w:rsidR="00122345" w:rsidRDefault="00BF7448" w:rsidP="0068027E">
            <w:pPr>
              <w:keepNext/>
              <w:widowControl w:val="0"/>
              <w:spacing w:before="120" w:after="120"/>
              <w:ind w:right="158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Preferred option</w:t>
            </w:r>
          </w:p>
          <w:p w14:paraId="7842D6AC" w14:textId="02F0BB71" w:rsidR="002B3A14" w:rsidRPr="002B3A14" w:rsidRDefault="002B3A14" w:rsidP="0068027E">
            <w:pPr>
              <w:keepNext/>
              <w:widowControl w:val="0"/>
              <w:spacing w:before="120" w:after="120"/>
              <w:ind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prefer one of the proposed options for standby pricing?</w:t>
            </w:r>
          </w:p>
        </w:tc>
        <w:tc>
          <w:tcPr>
            <w:tcW w:w="6210" w:type="dxa"/>
            <w:shd w:val="clear" w:color="auto" w:fill="auto"/>
          </w:tcPr>
          <w:p w14:paraId="37326F09" w14:textId="77777777" w:rsidR="00122345" w:rsidRPr="00C43AA5" w:rsidRDefault="00122345" w:rsidP="00C43AA5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7448" w:rsidRPr="00C43AA5" w14:paraId="4FFF3822" w14:textId="77777777" w:rsidTr="00955BA0">
        <w:trPr>
          <w:trHeight w:val="231"/>
        </w:trPr>
        <w:tc>
          <w:tcPr>
            <w:tcW w:w="857" w:type="dxa"/>
            <w:shd w:val="clear" w:color="auto" w:fill="auto"/>
          </w:tcPr>
          <w:p w14:paraId="63001E9B" w14:textId="45FF0687" w:rsidR="00BF7448" w:rsidRDefault="008200BF" w:rsidP="00C43AA5">
            <w:pPr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613" w:type="dxa"/>
          </w:tcPr>
          <w:p w14:paraId="0DF8409C" w14:textId="77777777" w:rsidR="00BF7448" w:rsidRDefault="00BF7448" w:rsidP="00BF7448">
            <w:pPr>
              <w:keepNext/>
              <w:widowControl w:val="0"/>
              <w:spacing w:before="120" w:after="120"/>
              <w:ind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Standby reserve pricing</w:t>
            </w:r>
          </w:p>
          <w:p w14:paraId="5F537424" w14:textId="77777777" w:rsidR="00BF7448" w:rsidRDefault="00BF7448" w:rsidP="00BF7448">
            <w:pPr>
              <w:keepNext/>
              <w:widowControl w:val="0"/>
              <w:spacing w:before="120" w:after="120"/>
              <w:ind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Offer caps</w:t>
            </w:r>
          </w:p>
          <w:p w14:paraId="1399F132" w14:textId="7B2B7BC2" w:rsidR="00BF7448" w:rsidRDefault="002B3A14" w:rsidP="00BF7448">
            <w:pPr>
              <w:keepNext/>
              <w:widowControl w:val="0"/>
              <w:spacing w:before="120" w:after="120"/>
              <w:ind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have any feedback on the proposal to apply the recommended active offer caps of $150/MWh for regulating reserves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and $50/MWh for contingency reserves to the activation price?</w:t>
            </w:r>
          </w:p>
          <w:p w14:paraId="16A31A12" w14:textId="5B9195C5" w:rsidR="002B3A14" w:rsidRPr="00BF7448" w:rsidRDefault="002B3A14" w:rsidP="00BF7448">
            <w:pPr>
              <w:keepNext/>
              <w:widowControl w:val="0"/>
              <w:spacing w:before="120" w:after="120"/>
              <w:ind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have any feedback on the proposal to retain the current $99/MWh offer cap for the premium price?</w:t>
            </w:r>
          </w:p>
        </w:tc>
        <w:tc>
          <w:tcPr>
            <w:tcW w:w="6210" w:type="dxa"/>
            <w:shd w:val="clear" w:color="auto" w:fill="auto"/>
          </w:tcPr>
          <w:p w14:paraId="0A2BDE63" w14:textId="77777777" w:rsidR="00BF7448" w:rsidRPr="00C43AA5" w:rsidRDefault="00BF7448" w:rsidP="00C43AA5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3"/>
    </w:tbl>
    <w:p w14:paraId="10750D22" w14:textId="77777777" w:rsidR="00C43AA5" w:rsidRPr="002C7144" w:rsidRDefault="00C43AA5" w:rsidP="002C7144">
      <w:pPr>
        <w:pStyle w:val="ListParagraph"/>
        <w:widowControl w:val="0"/>
        <w:spacing w:after="120"/>
        <w:ind w:left="-90"/>
        <w:contextualSpacing/>
        <w:rPr>
          <w:rFonts w:ascii="Arial" w:hAnsi="Arial" w:cs="Arial"/>
          <w:sz w:val="2"/>
          <w:szCs w:val="2"/>
        </w:rPr>
      </w:pPr>
    </w:p>
    <w:sectPr w:rsidR="00C43AA5" w:rsidRPr="002C7144">
      <w:headerReference w:type="default" r:id="rId10"/>
      <w:footerReference w:type="default" r:id="rId11"/>
      <w:headerReference w:type="first" r:id="rId12"/>
      <w:footerReference w:type="first" r:id="rId13"/>
      <w:pgSz w:w="15840" w:h="12240" w:orient="landscape" w:code="1"/>
      <w:pgMar w:top="1890" w:right="720" w:bottom="1260" w:left="1440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4DB5A" w14:textId="77777777" w:rsidR="00D420FB" w:rsidRDefault="00D420FB">
      <w:r>
        <w:separator/>
      </w:r>
    </w:p>
  </w:endnote>
  <w:endnote w:type="continuationSeparator" w:id="0">
    <w:p w14:paraId="4CA7CEBA" w14:textId="77777777" w:rsidR="00D420FB" w:rsidRDefault="00D42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BC559" w14:textId="1059F372" w:rsidR="0029211D" w:rsidRDefault="004A7F33">
    <w:pPr>
      <w:pStyle w:val="Footer"/>
      <w:tabs>
        <w:tab w:val="clear" w:pos="4320"/>
        <w:tab w:val="clear" w:pos="8640"/>
        <w:tab w:val="center" w:pos="6480"/>
        <w:tab w:val="right" w:pos="13590"/>
        <w:tab w:val="right" w:pos="17280"/>
      </w:tabs>
      <w:ind w:left="-72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Issued for Stakeholder </w:t>
    </w:r>
    <w:r w:rsidRPr="00712E95">
      <w:rPr>
        <w:rFonts w:ascii="Arial" w:hAnsi="Arial" w:cs="Arial"/>
        <w:sz w:val="18"/>
        <w:szCs w:val="18"/>
      </w:rPr>
      <w:t xml:space="preserve">Comment: </w:t>
    </w:r>
    <w:r w:rsidR="00712E95" w:rsidRPr="00712E95">
      <w:rPr>
        <w:rFonts w:ascii="Arial" w:hAnsi="Arial" w:cs="Arial"/>
        <w:sz w:val="18"/>
        <w:szCs w:val="18"/>
      </w:rPr>
      <w:t>2022-0</w:t>
    </w:r>
    <w:r w:rsidR="00E8223A">
      <w:rPr>
        <w:rFonts w:ascii="Arial" w:hAnsi="Arial" w:cs="Arial"/>
        <w:sz w:val="18"/>
        <w:szCs w:val="18"/>
      </w:rPr>
      <w:t>9</w:t>
    </w:r>
    <w:r w:rsidR="00712E95" w:rsidRPr="00712E95">
      <w:rPr>
        <w:rFonts w:ascii="Arial" w:hAnsi="Arial" w:cs="Arial"/>
        <w:sz w:val="18"/>
        <w:szCs w:val="18"/>
      </w:rPr>
      <w:t>-</w:t>
    </w:r>
    <w:r w:rsidR="002678F7">
      <w:rPr>
        <w:rFonts w:ascii="Arial" w:hAnsi="Arial" w:cs="Arial"/>
        <w:sz w:val="18"/>
        <w:szCs w:val="18"/>
      </w:rPr>
      <w:t>12</w:t>
    </w:r>
    <w:r>
      <w:rPr>
        <w:rFonts w:ascii="Arial" w:hAnsi="Arial" w:cs="Arial"/>
        <w:sz w:val="18"/>
        <w:szCs w:val="18"/>
      </w:rPr>
      <w:tab/>
      <w:t xml:space="preserve">Page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of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ab/>
      <w:t>Public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BC55F" w14:textId="77777777" w:rsidR="0029211D" w:rsidRDefault="004A7F33">
    <w:pPr>
      <w:pStyle w:val="Footer"/>
      <w:tabs>
        <w:tab w:val="clear" w:pos="4320"/>
        <w:tab w:val="clear" w:pos="8640"/>
        <w:tab w:val="center" w:pos="6480"/>
        <w:tab w:val="right" w:pos="13500"/>
        <w:tab w:val="right" w:pos="17280"/>
      </w:tabs>
      <w:ind w:left="-72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Issued for Stakeholder Comment: </w:t>
    </w:r>
    <w:r>
      <w:rPr>
        <w:rFonts w:ascii="Arial" w:hAnsi="Arial" w:cs="Arial"/>
        <w:sz w:val="18"/>
        <w:szCs w:val="18"/>
        <w:highlight w:val="yellow"/>
      </w:rPr>
      <w:t>MM DD, YYYY</w:t>
    </w:r>
    <w:r>
      <w:rPr>
        <w:rFonts w:ascii="Arial" w:hAnsi="Arial" w:cs="Arial"/>
        <w:sz w:val="18"/>
        <w:szCs w:val="18"/>
      </w:rPr>
      <w:tab/>
      <w:t xml:space="preserve">Page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of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ab/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206C1" w14:textId="77777777" w:rsidR="00D420FB" w:rsidRDefault="00D420FB">
      <w:r>
        <w:separator/>
      </w:r>
    </w:p>
  </w:footnote>
  <w:footnote w:type="continuationSeparator" w:id="0">
    <w:p w14:paraId="135D5778" w14:textId="77777777" w:rsidR="00D420FB" w:rsidRDefault="00D42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BC556" w14:textId="77777777" w:rsidR="0029211D" w:rsidRDefault="004A7F33">
    <w:pPr>
      <w:pStyle w:val="Header"/>
      <w:jc w:val="right"/>
    </w:pPr>
    <w:r>
      <w:rPr>
        <w:rFonts w:ascii="Arial" w:hAnsi="Arial"/>
        <w:noProof/>
      </w:rPr>
      <w:drawing>
        <wp:anchor distT="0" distB="0" distL="114300" distR="114300" simplePos="0" relativeHeight="251663360" behindDoc="1" locked="0" layoutInCell="1" allowOverlap="1" wp14:anchorId="4BCBC560" wp14:editId="4BCBC561">
          <wp:simplePos x="0" y="0"/>
          <wp:positionH relativeFrom="page">
            <wp:posOffset>-17145</wp:posOffset>
          </wp:positionH>
          <wp:positionV relativeFrom="page">
            <wp:posOffset>23495</wp:posOffset>
          </wp:positionV>
          <wp:extent cx="10058400" cy="1255395"/>
          <wp:effectExtent l="0" t="0" r="0" b="1905"/>
          <wp:wrapNone/>
          <wp:docPr id="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0" cy="125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CBC558" w14:textId="24E62BF3" w:rsidR="0029211D" w:rsidRPr="00676C96" w:rsidRDefault="004A7F33" w:rsidP="00676C96">
    <w:pPr>
      <w:pStyle w:val="Header"/>
      <w:rPr>
        <w:rFonts w:ascii="Arial" w:hAnsi="Arial"/>
        <w:b/>
        <w:bCs/>
        <w:color w:val="1F497D"/>
        <w:sz w:val="22"/>
        <w:szCs w:val="22"/>
      </w:rPr>
    </w:pPr>
    <w:r>
      <w:rPr>
        <w:rFonts w:ascii="Arial" w:hAnsi="Arial"/>
        <w:b/>
        <w:color w:val="1F497D"/>
        <w:sz w:val="22"/>
        <w:szCs w:val="22"/>
      </w:rPr>
      <w:t>Stakeholder Comment Matrix</w:t>
    </w:r>
    <w:r>
      <w:rPr>
        <w:rFonts w:ascii="Arial" w:hAnsi="Arial"/>
        <w:b/>
        <w:color w:val="1F497D"/>
        <w:sz w:val="22"/>
        <w:szCs w:val="22"/>
      </w:rPr>
      <w:br/>
    </w:r>
    <w:r>
      <w:rPr>
        <w:rFonts w:ascii="Arial" w:hAnsi="Arial"/>
        <w:b/>
        <w:bCs/>
        <w:color w:val="1F497D"/>
        <w:sz w:val="22"/>
        <w:szCs w:val="22"/>
      </w:rPr>
      <w:t xml:space="preserve">Additional Feedback from </w:t>
    </w:r>
    <w:r w:rsidR="00676C96" w:rsidRPr="00676C96">
      <w:rPr>
        <w:rFonts w:ascii="Arial" w:hAnsi="Arial"/>
        <w:b/>
        <w:bCs/>
        <w:color w:val="1F497D"/>
        <w:sz w:val="22"/>
        <w:szCs w:val="22"/>
      </w:rPr>
      <w:t xml:space="preserve">Stakeholder Consultation Session </w:t>
    </w:r>
    <w:r w:rsidR="00E8223A">
      <w:rPr>
        <w:rFonts w:ascii="Arial" w:hAnsi="Arial"/>
        <w:b/>
        <w:bCs/>
        <w:color w:val="1F497D"/>
        <w:sz w:val="22"/>
        <w:szCs w:val="22"/>
      </w:rPr>
      <w:t>3</w:t>
    </w:r>
    <w:r w:rsidR="00676C96" w:rsidRPr="00676C96">
      <w:rPr>
        <w:rFonts w:ascii="Arial" w:hAnsi="Arial"/>
        <w:b/>
        <w:bCs/>
        <w:color w:val="1F497D"/>
        <w:sz w:val="22"/>
        <w:szCs w:val="22"/>
      </w:rPr>
      <w:t xml:space="preserve"> on the </w:t>
    </w:r>
    <w:bookmarkStart w:id="4" w:name="_Hlk88040270"/>
    <w:r w:rsidR="00676C96" w:rsidRPr="00676C96">
      <w:rPr>
        <w:rFonts w:ascii="Arial" w:hAnsi="Arial"/>
        <w:b/>
        <w:bCs/>
        <w:color w:val="1F497D"/>
        <w:sz w:val="22"/>
        <w:szCs w:val="22"/>
      </w:rPr>
      <w:t>Operating Reserve</w:t>
    </w:r>
    <w:r w:rsidR="00BC3D48">
      <w:rPr>
        <w:rFonts w:ascii="Arial" w:hAnsi="Arial"/>
        <w:b/>
        <w:bCs/>
        <w:color w:val="1F497D"/>
        <w:sz w:val="22"/>
        <w:szCs w:val="22"/>
      </w:rPr>
      <w:t xml:space="preserve"> </w:t>
    </w:r>
    <w:r w:rsidR="00676C96" w:rsidRPr="00676C96">
      <w:rPr>
        <w:rFonts w:ascii="Arial" w:hAnsi="Arial"/>
        <w:b/>
        <w:bCs/>
        <w:color w:val="1F497D"/>
        <w:sz w:val="22"/>
        <w:szCs w:val="22"/>
      </w:rPr>
      <w:t xml:space="preserve">Market Review </w:t>
    </w:r>
    <w:bookmarkEnd w:id="4"/>
    <w:r w:rsidR="00BC3D48">
      <w:rPr>
        <w:rFonts w:ascii="Arial" w:hAnsi="Arial"/>
        <w:b/>
        <w:bCs/>
        <w:color w:val="1F497D"/>
        <w:sz w:val="22"/>
        <w:szCs w:val="22"/>
      </w:rPr>
      <w:br/>
    </w:r>
    <w:r w:rsidR="00676C96" w:rsidRPr="00676C96">
      <w:rPr>
        <w:rFonts w:ascii="Arial" w:hAnsi="Arial"/>
        <w:b/>
        <w:bCs/>
        <w:color w:val="1F497D"/>
        <w:sz w:val="22"/>
        <w:szCs w:val="22"/>
      </w:rPr>
      <w:t>(“Operating Reserve Market Review”)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702" w:type="dxa"/>
      <w:tblLook w:val="04A0" w:firstRow="1" w:lastRow="0" w:firstColumn="1" w:lastColumn="0" w:noHBand="0" w:noVBand="1"/>
    </w:tblPr>
    <w:tblGrid>
      <w:gridCol w:w="10890"/>
    </w:tblGrid>
    <w:tr w:rsidR="0029211D" w14:paraId="4BCBC55C" w14:textId="77777777">
      <w:trPr>
        <w:trHeight w:val="1440"/>
      </w:trPr>
      <w:tc>
        <w:tcPr>
          <w:tcW w:w="10890" w:type="dxa"/>
          <w:shd w:val="clear" w:color="auto" w:fill="auto"/>
          <w:vAlign w:val="bottom"/>
        </w:tcPr>
        <w:p w14:paraId="4BCBC55A" w14:textId="77777777" w:rsidR="0029211D" w:rsidRDefault="004A7F33">
          <w:pPr>
            <w:pStyle w:val="Title"/>
            <w:tabs>
              <w:tab w:val="clear" w:pos="0"/>
              <w:tab w:val="left" w:pos="-90"/>
            </w:tabs>
            <w:spacing w:before="240" w:after="240"/>
            <w:ind w:left="-90"/>
            <w:rPr>
              <w:rFonts w:ascii="Arial" w:hAnsi="Arial"/>
              <w:b/>
              <w:color w:val="1F497D"/>
              <w:sz w:val="22"/>
              <w:szCs w:val="22"/>
            </w:rPr>
          </w:pPr>
          <w:r>
            <w:rPr>
              <w:rFonts w:ascii="Arial" w:hAnsi="Arial"/>
              <w:noProof/>
            </w:rPr>
            <w:drawing>
              <wp:anchor distT="0" distB="0" distL="114300" distR="114300" simplePos="0" relativeHeight="251657216" behindDoc="1" locked="0" layoutInCell="1" allowOverlap="1" wp14:anchorId="4BCBC562" wp14:editId="4BCBC563">
                <wp:simplePos x="0" y="0"/>
                <wp:positionH relativeFrom="page">
                  <wp:posOffset>-819150</wp:posOffset>
                </wp:positionH>
                <wp:positionV relativeFrom="page">
                  <wp:posOffset>-237490</wp:posOffset>
                </wp:positionV>
                <wp:extent cx="10058400" cy="1255395"/>
                <wp:effectExtent l="0" t="0" r="0" b="1905"/>
                <wp:wrapNone/>
                <wp:docPr id="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0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/>
              <w:b/>
              <w:color w:val="1F497D"/>
              <w:sz w:val="22"/>
              <w:szCs w:val="22"/>
            </w:rPr>
            <w:t xml:space="preserve">Stakeholder Comment Matrix – </w:t>
          </w:r>
          <w:r>
            <w:rPr>
              <w:rFonts w:ascii="Arial" w:hAnsi="Arial"/>
              <w:b/>
              <w:color w:val="1F497D"/>
              <w:sz w:val="22"/>
              <w:szCs w:val="22"/>
              <w:highlight w:val="yellow"/>
            </w:rPr>
            <w:t>[Insert Consultation Date from Letter of Notice]</w:t>
          </w:r>
        </w:p>
        <w:p w14:paraId="4BCBC55B" w14:textId="77777777" w:rsidR="0029211D" w:rsidRDefault="004A7F33">
          <w:pPr>
            <w:pStyle w:val="Title"/>
            <w:tabs>
              <w:tab w:val="clear" w:pos="0"/>
              <w:tab w:val="left" w:pos="-90"/>
            </w:tabs>
            <w:spacing w:before="240" w:after="240"/>
            <w:ind w:left="-90"/>
            <w:rPr>
              <w:rFonts w:ascii="Arial" w:hAnsi="Arial"/>
              <w:b/>
              <w:color w:val="1F497D"/>
            </w:rPr>
          </w:pPr>
          <w:r>
            <w:rPr>
              <w:rFonts w:ascii="Arial" w:hAnsi="Arial"/>
              <w:b/>
              <w:color w:val="1F497D"/>
              <w:sz w:val="22"/>
              <w:szCs w:val="22"/>
            </w:rPr>
            <w:t xml:space="preserve">Development of a Proposed </w:t>
          </w:r>
          <w:r>
            <w:rPr>
              <w:rFonts w:ascii="Arial" w:hAnsi="Arial"/>
              <w:b/>
              <w:color w:val="1F497D"/>
              <w:sz w:val="22"/>
              <w:szCs w:val="22"/>
              <w:highlight w:val="yellow"/>
            </w:rPr>
            <w:t>New/Amended ISO rule [Insert Consultation Name]</w:t>
          </w:r>
        </w:p>
      </w:tc>
    </w:tr>
  </w:tbl>
  <w:p w14:paraId="4BCBC55D" w14:textId="77777777" w:rsidR="0029211D" w:rsidRDefault="004A7F33">
    <w:pPr>
      <w:rPr>
        <w:color w:val="1F497D"/>
        <w:sz w:val="12"/>
        <w:szCs w:val="12"/>
      </w:rPr>
    </w:pPr>
    <w:r>
      <w:rPr>
        <w:color w:val="1F497D"/>
        <w:sz w:val="12"/>
        <w:szCs w:val="12"/>
      </w:rPr>
      <w:fldChar w:fldCharType="begin"/>
    </w:r>
    <w:r>
      <w:rPr>
        <w:color w:val="1F497D"/>
        <w:sz w:val="12"/>
        <w:szCs w:val="12"/>
      </w:rPr>
      <w:instrText xml:space="preserve"> COMMENTS  \* Caps  \* MERGEFORMAT </w:instrText>
    </w:r>
    <w:r>
      <w:rPr>
        <w:color w:val="1F497D"/>
        <w:sz w:val="12"/>
        <w:szCs w:val="12"/>
      </w:rPr>
      <w:fldChar w:fldCharType="end"/>
    </w:r>
  </w:p>
  <w:p w14:paraId="4BCBC55E" w14:textId="77777777" w:rsidR="0029211D" w:rsidRDefault="0029211D">
    <w:pPr>
      <w:rPr>
        <w:color w:val="1F497D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F538E"/>
    <w:multiLevelType w:val="hybridMultilevel"/>
    <w:tmpl w:val="8BCA2CC6"/>
    <w:lvl w:ilvl="0" w:tplc="F9B056B0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946B1"/>
    <w:multiLevelType w:val="hybridMultilevel"/>
    <w:tmpl w:val="B874EA8A"/>
    <w:lvl w:ilvl="0" w:tplc="349A53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C687C"/>
    <w:multiLevelType w:val="hybridMultilevel"/>
    <w:tmpl w:val="5220174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2316CB3"/>
    <w:multiLevelType w:val="hybridMultilevel"/>
    <w:tmpl w:val="ADB0A38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23E6C4C"/>
    <w:multiLevelType w:val="multilevel"/>
    <w:tmpl w:val="BE960B3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EC3CAA"/>
    <w:multiLevelType w:val="hybridMultilevel"/>
    <w:tmpl w:val="9502E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05691"/>
    <w:multiLevelType w:val="multilevel"/>
    <w:tmpl w:val="2258049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F6539"/>
    <w:multiLevelType w:val="hybridMultilevel"/>
    <w:tmpl w:val="22580498"/>
    <w:lvl w:ilvl="0" w:tplc="9D0415E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B5C58"/>
    <w:multiLevelType w:val="hybridMultilevel"/>
    <w:tmpl w:val="3B802272"/>
    <w:lvl w:ilvl="0" w:tplc="94A613D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02497B"/>
    <w:multiLevelType w:val="hybridMultilevel"/>
    <w:tmpl w:val="8F46F1EC"/>
    <w:lvl w:ilvl="0" w:tplc="97A87E32">
      <w:start w:val="2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2268D"/>
    <w:multiLevelType w:val="hybridMultilevel"/>
    <w:tmpl w:val="BE706A9C"/>
    <w:lvl w:ilvl="0" w:tplc="3ABA83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6C520C"/>
    <w:multiLevelType w:val="hybridMultilevel"/>
    <w:tmpl w:val="699E342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2766876"/>
    <w:multiLevelType w:val="hybridMultilevel"/>
    <w:tmpl w:val="711EEA2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D52A5"/>
    <w:multiLevelType w:val="hybridMultilevel"/>
    <w:tmpl w:val="8CF412E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43B5986"/>
    <w:multiLevelType w:val="multilevel"/>
    <w:tmpl w:val="3B80227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860DAB"/>
    <w:multiLevelType w:val="hybridMultilevel"/>
    <w:tmpl w:val="1244340A"/>
    <w:lvl w:ilvl="0" w:tplc="F112E9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24552D"/>
    <w:multiLevelType w:val="multilevel"/>
    <w:tmpl w:val="C4FA3940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541033EA"/>
    <w:multiLevelType w:val="hybridMultilevel"/>
    <w:tmpl w:val="00A4FB74"/>
    <w:lvl w:ilvl="0" w:tplc="82B29016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5C102A40"/>
    <w:multiLevelType w:val="hybridMultilevel"/>
    <w:tmpl w:val="B030B7A2"/>
    <w:lvl w:ilvl="0" w:tplc="512EAD44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  <w:color w:val="FFFFFF" w:themeColor="background1"/>
      </w:rPr>
    </w:lvl>
    <w:lvl w:ilvl="1" w:tplc="100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19" w15:restartNumberingAfterBreak="0">
    <w:nsid w:val="6F624F7C"/>
    <w:multiLevelType w:val="hybridMultilevel"/>
    <w:tmpl w:val="36629E6A"/>
    <w:lvl w:ilvl="0" w:tplc="0409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  <w:color w:val="FFFFFF" w:themeColor="background1"/>
      </w:rPr>
    </w:lvl>
    <w:lvl w:ilvl="1" w:tplc="100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20" w15:restartNumberingAfterBreak="0">
    <w:nsid w:val="7467528B"/>
    <w:multiLevelType w:val="hybridMultilevel"/>
    <w:tmpl w:val="63B6CC58"/>
    <w:lvl w:ilvl="0" w:tplc="3A6E14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1008B"/>
    <w:multiLevelType w:val="hybridMultilevel"/>
    <w:tmpl w:val="093EFA32"/>
    <w:lvl w:ilvl="0" w:tplc="14BE15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358188">
    <w:abstractNumId w:val="8"/>
  </w:num>
  <w:num w:numId="2" w16cid:durableId="123501038">
    <w:abstractNumId w:val="14"/>
  </w:num>
  <w:num w:numId="3" w16cid:durableId="1906067708">
    <w:abstractNumId w:val="10"/>
  </w:num>
  <w:num w:numId="4" w16cid:durableId="100075568">
    <w:abstractNumId w:val="4"/>
  </w:num>
  <w:num w:numId="5" w16cid:durableId="1372151606">
    <w:abstractNumId w:val="15"/>
  </w:num>
  <w:num w:numId="6" w16cid:durableId="1066336891">
    <w:abstractNumId w:val="20"/>
  </w:num>
  <w:num w:numId="7" w16cid:durableId="1111975454">
    <w:abstractNumId w:val="17"/>
  </w:num>
  <w:num w:numId="8" w16cid:durableId="1489975011">
    <w:abstractNumId w:val="0"/>
  </w:num>
  <w:num w:numId="9" w16cid:durableId="1430471130">
    <w:abstractNumId w:val="16"/>
  </w:num>
  <w:num w:numId="10" w16cid:durableId="1226186749">
    <w:abstractNumId w:val="3"/>
  </w:num>
  <w:num w:numId="11" w16cid:durableId="2088069814">
    <w:abstractNumId w:val="13"/>
  </w:num>
  <w:num w:numId="12" w16cid:durableId="994913546">
    <w:abstractNumId w:val="2"/>
  </w:num>
  <w:num w:numId="13" w16cid:durableId="2065833898">
    <w:abstractNumId w:val="11"/>
  </w:num>
  <w:num w:numId="14" w16cid:durableId="2075154468">
    <w:abstractNumId w:val="9"/>
  </w:num>
  <w:num w:numId="15" w16cid:durableId="1336033883">
    <w:abstractNumId w:val="5"/>
  </w:num>
  <w:num w:numId="16" w16cid:durableId="156306145">
    <w:abstractNumId w:val="21"/>
  </w:num>
  <w:num w:numId="17" w16cid:durableId="238369770">
    <w:abstractNumId w:val="1"/>
  </w:num>
  <w:num w:numId="18" w16cid:durableId="1008144292">
    <w:abstractNumId w:val="7"/>
  </w:num>
  <w:num w:numId="19" w16cid:durableId="724110786">
    <w:abstractNumId w:val="6"/>
  </w:num>
  <w:num w:numId="20" w16cid:durableId="878660711">
    <w:abstractNumId w:val="18"/>
  </w:num>
  <w:num w:numId="21" w16cid:durableId="870268387">
    <w:abstractNumId w:val="19"/>
  </w:num>
  <w:num w:numId="22" w16cid:durableId="2090706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11D"/>
    <w:rsid w:val="0000319E"/>
    <w:rsid w:val="00005A20"/>
    <w:rsid w:val="0001227D"/>
    <w:rsid w:val="00013622"/>
    <w:rsid w:val="00020AE2"/>
    <w:rsid w:val="00023833"/>
    <w:rsid w:val="000A7F55"/>
    <w:rsid w:val="000C058B"/>
    <w:rsid w:val="000F1E3A"/>
    <w:rsid w:val="000F2092"/>
    <w:rsid w:val="001017B7"/>
    <w:rsid w:val="00122345"/>
    <w:rsid w:val="0013566B"/>
    <w:rsid w:val="00141B5B"/>
    <w:rsid w:val="00182C43"/>
    <w:rsid w:val="001B3BFF"/>
    <w:rsid w:val="001E6FDC"/>
    <w:rsid w:val="00213DF5"/>
    <w:rsid w:val="00225EBD"/>
    <w:rsid w:val="002315D5"/>
    <w:rsid w:val="00233B2B"/>
    <w:rsid w:val="00242A62"/>
    <w:rsid w:val="002678F7"/>
    <w:rsid w:val="0029211D"/>
    <w:rsid w:val="002B3A14"/>
    <w:rsid w:val="002B5AA8"/>
    <w:rsid w:val="002C52BB"/>
    <w:rsid w:val="002C7144"/>
    <w:rsid w:val="002D0500"/>
    <w:rsid w:val="002D6F17"/>
    <w:rsid w:val="002E6907"/>
    <w:rsid w:val="00302F88"/>
    <w:rsid w:val="0037202B"/>
    <w:rsid w:val="00395AF3"/>
    <w:rsid w:val="003B0CD7"/>
    <w:rsid w:val="003D52F6"/>
    <w:rsid w:val="00402087"/>
    <w:rsid w:val="00403351"/>
    <w:rsid w:val="00451503"/>
    <w:rsid w:val="004669D1"/>
    <w:rsid w:val="00467871"/>
    <w:rsid w:val="004802FE"/>
    <w:rsid w:val="004A7F33"/>
    <w:rsid w:val="004C7992"/>
    <w:rsid w:val="004C7F05"/>
    <w:rsid w:val="004F2A3A"/>
    <w:rsid w:val="00510D0C"/>
    <w:rsid w:val="005128A5"/>
    <w:rsid w:val="005301F6"/>
    <w:rsid w:val="00577E3E"/>
    <w:rsid w:val="0061717B"/>
    <w:rsid w:val="00620042"/>
    <w:rsid w:val="0064000A"/>
    <w:rsid w:val="00676C96"/>
    <w:rsid w:val="0068027E"/>
    <w:rsid w:val="0068370B"/>
    <w:rsid w:val="00703A19"/>
    <w:rsid w:val="00712E95"/>
    <w:rsid w:val="0072133D"/>
    <w:rsid w:val="007473C9"/>
    <w:rsid w:val="007566A3"/>
    <w:rsid w:val="00762D25"/>
    <w:rsid w:val="007717D3"/>
    <w:rsid w:val="00775FC1"/>
    <w:rsid w:val="00783352"/>
    <w:rsid w:val="0078564E"/>
    <w:rsid w:val="00792732"/>
    <w:rsid w:val="00792BF0"/>
    <w:rsid w:val="007E6A6F"/>
    <w:rsid w:val="007F6D2A"/>
    <w:rsid w:val="0080185B"/>
    <w:rsid w:val="008147BA"/>
    <w:rsid w:val="008200BF"/>
    <w:rsid w:val="008911E6"/>
    <w:rsid w:val="008B0E96"/>
    <w:rsid w:val="008B1AA4"/>
    <w:rsid w:val="008B6533"/>
    <w:rsid w:val="008C47FF"/>
    <w:rsid w:val="008D47BE"/>
    <w:rsid w:val="008E4199"/>
    <w:rsid w:val="00955BA0"/>
    <w:rsid w:val="0096181E"/>
    <w:rsid w:val="009C14D5"/>
    <w:rsid w:val="009F4CF4"/>
    <w:rsid w:val="00A17730"/>
    <w:rsid w:val="00A721BC"/>
    <w:rsid w:val="00A8561F"/>
    <w:rsid w:val="00B95BB0"/>
    <w:rsid w:val="00B972E1"/>
    <w:rsid w:val="00BC0821"/>
    <w:rsid w:val="00BC3D48"/>
    <w:rsid w:val="00BF7448"/>
    <w:rsid w:val="00C2120C"/>
    <w:rsid w:val="00C43AA5"/>
    <w:rsid w:val="00C44B18"/>
    <w:rsid w:val="00C8163F"/>
    <w:rsid w:val="00CA3CC0"/>
    <w:rsid w:val="00CB70B7"/>
    <w:rsid w:val="00D0155C"/>
    <w:rsid w:val="00D33A4D"/>
    <w:rsid w:val="00D420FB"/>
    <w:rsid w:val="00D80158"/>
    <w:rsid w:val="00D82EBD"/>
    <w:rsid w:val="00DB04AC"/>
    <w:rsid w:val="00DC2008"/>
    <w:rsid w:val="00DD392C"/>
    <w:rsid w:val="00DD6D84"/>
    <w:rsid w:val="00E15E61"/>
    <w:rsid w:val="00E2007A"/>
    <w:rsid w:val="00E37DBD"/>
    <w:rsid w:val="00E420B3"/>
    <w:rsid w:val="00E56F78"/>
    <w:rsid w:val="00E7308F"/>
    <w:rsid w:val="00E8223A"/>
    <w:rsid w:val="00E93CEF"/>
    <w:rsid w:val="00EA223F"/>
    <w:rsid w:val="00EA5653"/>
    <w:rsid w:val="00ED1C27"/>
    <w:rsid w:val="00F0459D"/>
    <w:rsid w:val="00F07BD5"/>
    <w:rsid w:val="00F1360B"/>
    <w:rsid w:val="00F20F36"/>
    <w:rsid w:val="00F60944"/>
    <w:rsid w:val="00FA430E"/>
    <w:rsid w:val="00FE5D90"/>
    <w:rsid w:val="00FF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CBC5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</w:rPr>
  </w:style>
  <w:style w:type="character" w:styleId="FootnoteReference">
    <w:name w:val="footnote reference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link w:val="Title"/>
    <w:uiPriority w:val="10"/>
    <w:rPr>
      <w:rFonts w:cs="Arial"/>
      <w:color w:val="FFFFFF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20" Type="http://schemas.openxmlformats.org/officeDocument/2006/relationships/customXml" Target="../customXml/item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customXml" Target="../customXml/item6.xml"/><Relationship Id="rId4" Type="http://schemas.openxmlformats.org/officeDocument/2006/relationships/styles" Target="styles.xml"/><Relationship Id="rId9" Type="http://schemas.openxmlformats.org/officeDocument/2006/relationships/hyperlink" Target="mailto:rules_comments@aeso.c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Collabware CLM Item Unique ID</Name>
    <Synchronization>Synchronous</Synchronization>
    <Type>1</Type>
    <SequenceNumber>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10002</Type>
    <SequenceNumber>10500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10004</Type>
    <SequenceNumber>10501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10006</Type>
    <SequenceNumber>10502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Processing</Name>
    <Synchronization>Synchronous</Synchronization>
    <Type>10001</Type>
    <SequenceNumber>12000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10002</Type>
    <SequenceNumber>12001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10004</Type>
    <SequenceNumber>12002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Synchronous</Synchronization>
    <Type>3</Type>
    <SequenceNumber>10003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Audit</Name>
    <Synchronization>Asynchronous</Synchronization>
    <Type>10001</Type>
    <SequenceNumber>11000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10002</Type>
    <SequenceNumber>11001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10005</Type>
    <SequenceNumber>11002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10006</Type>
    <SequenceNumber>11003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10004</Type>
    <SequenceNumber>11004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Synchronous</Synchronization>
    <Type>3</Type>
    <SequenceNumber>11005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Security</Name>
    <Synchronization>Asynchronous</Synchronization>
    <Type>10002</Type>
    <SequenceNumber>13000</SequenceNumber>
    <Url/>
    <Assembly>Collabware.SharePoint.RecordsManagement, Version=1.0.0.0, Culture=neutral, PublicKeyToken=801662d3f2b71412</Assembly>
    <Class>Collabware.SharePoint.RecordsManagement.ItemSecurityContentTypeReceiver</Class>
    <Data/>
    <Filter/>
  </Receiver>
  <Receiver>
    <Name/>
    <Synchronization>Synchronous</Synchronization>
    <Type>10001</Type>
    <SequenceNumber>1</SequenceNumber>
    <Url/>
    <Assembly>Collabware.SharePoint.RecordsManagement, Version=1.0.0.0, Culture=neutral, PublicKeyToken=801662d3f2b71412</Assembly>
    <Class>Collabware.SharePoint.RecordsManagement.BeforeVerifyItemAddedReceiver</Class>
    <Data/>
    <Filter/>
  </Receiver>
  <Receiver>
    <Name/>
    <Synchronization>Synchronous</Synchronization>
    <Type>10001</Type>
    <SequenceNumber>9000</SequenceNumber>
    <Url/>
    <Assembly>Collabware.SharePoint.RecordsManagement, Version=1.0.0.0, Culture=neutral, PublicKeyToken=801662d3f2b71412</Assembly>
    <Class>Collabware.SharePoint.RecordsManagement.VerifyItemAddedReceiver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SO Rules Document" ma:contentTypeID="0x010100BC84ACA119491D43B8AEA0C41A758E3B0B0200397878E89679484694B50D60D7FD0D94" ma:contentTypeVersion="83" ma:contentTypeDescription="" ma:contentTypeScope="" ma:versionID="563ca6d8ad061c119feb35abeb29cb3a">
  <xsd:schema xmlns:xsd="http://www.w3.org/2001/XMLSchema" xmlns:xs="http://www.w3.org/2001/XMLSchema" xmlns:p="http://schemas.microsoft.com/office/2006/metadata/properties" xmlns:ns2="bfc2574c-8110-4e43-9784-1ee86de75c6c" xmlns:ns4="650fffc6-a86a-4844-afad-966e4497fd3d" xmlns:ns5="28a23bd2-3667-4f3a-9f15-05647af9d31b" xmlns:ns6="3874a12c-cb96-46c0-a01b-e4d7e8d40966" targetNamespace="http://schemas.microsoft.com/office/2006/metadata/properties" ma:root="true" ma:fieldsID="6515ef6083cd5167f19c66fb036214e0" ns2:_="" ns4:_="" ns5:_="" ns6:_="">
    <xsd:import namespace="bfc2574c-8110-4e43-9784-1ee86de75c6c"/>
    <xsd:import namespace="650fffc6-a86a-4844-afad-966e4497fd3d"/>
    <xsd:import namespace="28a23bd2-3667-4f3a-9f15-05647af9d31b"/>
    <xsd:import namespace="3874a12c-cb96-46c0-a01b-e4d7e8d40966"/>
    <xsd:element name="properties">
      <xsd:complexType>
        <xsd:sequence>
          <xsd:element name="documentManagement">
            <xsd:complexType>
              <xsd:all>
                <xsd:element ref="ns2:Activity_x0020_Complete_x0020_Date" minOccurs="0"/>
                <xsd:element ref="ns2:LARA_x0020_Status" minOccurs="0"/>
                <xsd:element ref="ns4:e94be97ffb024deb9c3d6d978a059d35" minOccurs="0"/>
                <xsd:element ref="ns2:TaxCatchAll" minOccurs="0"/>
                <xsd:element ref="ns2:TaxCatchAllLabel" minOccurs="0"/>
                <xsd:element ref="ns4:CWRMItemRecordStatus" minOccurs="0"/>
                <xsd:element ref="ns4:CWRMItemRecordDeclaredDate" minOccurs="0"/>
                <xsd:element ref="ns4:CWRMItemRecordVital" minOccurs="0"/>
                <xsd:element ref="ns4:CWRMItemRecordData" minOccurs="0"/>
                <xsd:element ref="ns2:fdc7710463144dc19a8992998d0907da" minOccurs="0"/>
                <xsd:element ref="ns2:_dlc_DocId" minOccurs="0"/>
                <xsd:element ref="ns2:_dlc_DocIdUrl" minOccurs="0"/>
                <xsd:element ref="ns2:_dlc_DocIdPersistId" minOccurs="0"/>
                <xsd:element ref="ns2:e4f22e6f29fb4eb6af23a655472aab9f" minOccurs="0"/>
                <xsd:element ref="ns4:CWRMItemUniqueId" minOccurs="0"/>
                <xsd:element ref="ns2:nc9abd60d2924b6a80e31aa92886dd82" minOccurs="0"/>
                <xsd:element ref="ns4:CWRMItemRecordState" minOccurs="0"/>
                <xsd:element ref="ns2:n920abf613194d45b14af8191f159b16" minOccurs="0"/>
                <xsd:element ref="ns4:CWRMItemRecordCategory" minOccurs="0"/>
                <xsd:element ref="ns2:o74c417c636446b2936ee46a3b1dd71d" minOccurs="0"/>
                <xsd:element ref="ns2:k64467115e4948f8a6ae90544ba894f6" minOccurs="0"/>
                <xsd:element ref="ns5:Notes0" minOccurs="0"/>
                <xsd:element ref="ns6:SharedWithUsers" minOccurs="0"/>
                <xsd:element ref="ns6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2574c-8110-4e43-9784-1ee86de75c6c" elementFormDefault="qualified">
    <xsd:import namespace="http://schemas.microsoft.com/office/2006/documentManagement/types"/>
    <xsd:import namespace="http://schemas.microsoft.com/office/infopath/2007/PartnerControls"/>
    <xsd:element name="Activity_x0020_Complete_x0020_Date" ma:index="2" nillable="true" ma:displayName="Activity Complete Date" ma:description="Example: 02/23/2020" ma:format="DateOnly" ma:internalName="Activity_x0020_Complete_x0020_Date">
      <xsd:simpleType>
        <xsd:restriction base="dms:DateTime"/>
      </xsd:simpleType>
    </xsd:element>
    <xsd:element name="LARA_x0020_Status" ma:index="6" nillable="true" ma:displayName="LARA Status" ma:default="Active" ma:format="Dropdown" ma:internalName="LARA_x0020_Status">
      <xsd:simpleType>
        <xsd:restriction base="dms:Choice">
          <xsd:enumeration value="Active"/>
          <xsd:enumeration value="Inactive"/>
        </xsd:restriction>
      </xsd:simpleType>
    </xsd:element>
    <xsd:element name="TaxCatchAll" ma:index="11" nillable="true" ma:displayName="Taxonomy Catch All Column" ma:hidden="true" ma:list="4eea8045-af52-47fb-8910-5a8a46b38f49" ma:internalName="TaxCatchAll" ma:showField="CatchAllData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4eea8045-af52-47fb-8910-5a8a46b38f49" ma:internalName="TaxCatchAllLabel" ma:readOnly="true" ma:showField="CatchAllDataLabel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dc7710463144dc19a8992998d0907da" ma:index="19" nillable="true" ma:taxonomy="true" ma:internalName="fdc7710463144dc19a8992998d0907da" ma:taxonomyFieldName="Confidentiality_x0020_Classification" ma:displayName="Confidentiality Classification" ma:default="1271;#AESO Internal|fe2129cc-e616-4c1e-9a39-b6921e014562" ma:fieldId="{fdc77104-6314-4dc1-9a89-92998d0907da}" ma:sspId="93371fdb-7bec-4d52-adeb-1166efac0023" ma:termSetId="86da2f9e-e637-434c-a22c-d8de590d1e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f22e6f29fb4eb6af23a655472aab9f" ma:index="25" nillable="true" ma:taxonomy="true" ma:internalName="e4f22e6f29fb4eb6af23a655472aab9f" ma:taxonomyFieldName="Related_x0020_IDs" ma:displayName="Related IDs" ma:default="" ma:fieldId="{e4f22e6f-29fb-4eb6-af23-a655472aab9f}" ma:taxonomyMulti="true" ma:sspId="93371fdb-7bec-4d52-adeb-1166efac0023" ma:termSetId="1bafa7bf-1e15-4e60-8ec8-ac07e5ec257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9abd60d2924b6a80e31aa92886dd82" ma:index="28" nillable="true" ma:taxonomy="true" ma:internalName="nc9abd60d2924b6a80e31aa92886dd82" ma:taxonomyFieldName="Business_x0020_Unit_x0028_s_x0029_" ma:displayName="Business Unit(s)" ma:default="" ma:fieldId="{7c9abd60-d292-4b6a-80e3-1aa92886dd82}" ma:taxonomyMulti="true" ma:sspId="93371fdb-7bec-4d52-adeb-1166efac0023" ma:termSetId="3d412721-2c26-4086-a4aa-f3bd35cef3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920abf613194d45b14af8191f159b16" ma:index="30" nillable="true" ma:taxonomy="true" ma:internalName="n920abf613194d45b14af8191f159b16" ma:taxonomyFieldName="Division" ma:displayName="Division" ma:default="" ma:fieldId="{7920abf6-1319-4d45-b14a-f8191f159b16}" ma:sspId="93371fdb-7bec-4d52-adeb-1166efac0023" ma:termSetId="11120aec-cc94-4c12-a4d0-0fdbfde7d5e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74c417c636446b2936ee46a3b1dd71d" ma:index="32" nillable="true" ma:taxonomy="true" ma:internalName="o74c417c636446b2936ee46a3b1dd71d" ma:taxonomyFieldName="LARA_x0020_Category0" ma:displayName="LARA Category" ma:default="" ma:fieldId="{874c417c-6364-46b2-936e-e46a3b1dd71d}" ma:sspId="93371fdb-7bec-4d52-adeb-1166efac0023" ma:termSetId="2637bfa7-984d-4f49-a627-0ad3095dbd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64467115e4948f8a6ae90544ba894f6" ma:index="34" nillable="true" ma:taxonomy="true" ma:internalName="k64467115e4948f8a6ae90544ba894f6" ma:taxonomyFieldName="Related_x0020_ADs" ma:displayName="Related ADs" ma:default="" ma:fieldId="{46446711-5e49-48f8-a6ae-90544ba894f6}" ma:taxonomyMulti="true" ma:sspId="93371fdb-7bec-4d52-adeb-1166efac0023" ma:termSetId="a53a396f-088e-46cc-82dd-f28275a65df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fffc6-a86a-4844-afad-966e4497fd3d" elementFormDefault="qualified">
    <xsd:import namespace="http://schemas.microsoft.com/office/2006/documentManagement/types"/>
    <xsd:import namespace="http://schemas.microsoft.com/office/infopath/2007/PartnerControls"/>
    <xsd:element name="e94be97ffb024deb9c3d6d978a059d35" ma:index="10" nillable="true" ma:taxonomy="true" ma:internalName="CWRMItemRecordClassificationTaxHTField0" ma:taxonomyFieldName="CWRMItemRecordClassification" ma:displayName="Record Classification" ma:fieldId="{e94be97f-fb02-4deb-9c3d-6d978a059d35}" ma:sspId="93371fdb-7bec-4d52-adeb-1166efac0023" ma:termSetId="cdfcbdf3-8cad-4f84-bedc-a05c42b6c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WRMItemRecordStatus" ma:index="14" nillable="true" ma:displayName="Record Status" ma:description="The current status of this item as it pertains to records management." ma:hidden="true" ma:internalName="CWRMItemRecordStatus" ma:readOnly="true">
      <xsd:simpleType>
        <xsd:restriction base="dms:Text"/>
      </xsd:simpleType>
    </xsd:element>
    <xsd:element name="CWRMItemRecordDeclaredDate" ma:index="15" nillable="true" ma:displayName="Record Declared Date" ma:description="The date and time that the item was declared a record." ma:hidden="true" ma:internalName="CWRMItemRecordDeclaredDate" ma:readOnly="true">
      <xsd:simpleType>
        <xsd:restriction base="dms:DateTime"/>
      </xsd:simpleType>
    </xsd:element>
    <xsd:element name="CWRMItemRecordVital" ma:index="16" nillable="true" ma:displayName="Record Vital" ma:description="Indicates if this item is considered vital to the organization." ma:hidden="true" ma:internalName="CWRMItemRecordVital" ma:readOnly="true">
      <xsd:simpleType>
        <xsd:restriction base="dms:Boolean"/>
      </xsd:simpleType>
    </xsd:element>
    <xsd:element name="CWRMItemRecordData" ma:index="17" nillable="true" ma:displayName="Record Data" ma:description="Contains system specific record data for the item." ma:hidden="true" ma:internalName="CWRMItemRecordData">
      <xsd:simpleType>
        <xsd:restriction base="dms:Note"/>
      </xsd:simpleType>
    </xsd:element>
    <xsd:element name="CWRMItemUniqueId" ma:index="27" nillable="true" ma:displayName="Content ID" ma:description="A universally unique identifier assigned to the item." ma:hidden="true" ma:internalName="CWRMItemUniqueId" ma:readOnly="true">
      <xsd:simpleType>
        <xsd:restriction base="dms:Text"/>
      </xsd:simpleType>
    </xsd:element>
    <xsd:element name="CWRMItemRecordState" ma:index="29" nillable="true" ma:displayName="Record State" ma:description="The current state of this item as it pertains to records management." ma:hidden="true" ma:internalName="CWRMItemRecordState" ma:readOnly="true">
      <xsd:simpleType>
        <xsd:restriction base="dms:Text"/>
      </xsd:simpleType>
    </xsd:element>
    <xsd:element name="CWRMItemRecordCategory" ma:index="31" nillable="true" ma:displayName="Record Category" ma:description="Identifies the current record category for the item." ma:hidden="true" ma:internalName="CWRMItemRecordCategory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23bd2-3667-4f3a-9f15-05647af9d31b" elementFormDefault="qualified">
    <xsd:import namespace="http://schemas.microsoft.com/office/2006/documentManagement/types"/>
    <xsd:import namespace="http://schemas.microsoft.com/office/infopath/2007/PartnerControls"/>
    <xsd:element name="Notes0" ma:index="36" nillable="true" ma:displayName="Notes" ma:internalName="Notes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4a12c-cb96-46c0-a01b-e4d7e8d40966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93371fdb-7bec-4d52-adeb-1166efac0023" ContentTypeId="0x010100BC84ACA119491D43B8AEA0C41A758E3B0B02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WRMItemRecordCategory xmlns="650fffc6-a86a-4844-afad-966e4497fd3d" xsi:nil="true"/>
    <CWRMItemRecordState xmlns="650fffc6-a86a-4844-afad-966e4497fd3d" xsi:nil="true"/>
    <e4f22e6f29fb4eb6af23a655472aab9f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ID #2013 005R, Operating Reserve</TermName>
          <TermId xmlns="http://schemas.microsoft.com/office/infopath/2007/PartnerControls">2e10ee4d-666c-4399-a98c-e5322bbdbd3d</TermId>
        </TermInfo>
        <TermInfo xmlns="http://schemas.microsoft.com/office/infopath/2007/PartnerControls">
          <TermName xmlns="http://schemas.microsoft.com/office/infopath/2007/PartnerControls">ID #2013-007R, Contingency Reserve</TermName>
          <TermId xmlns="http://schemas.microsoft.com/office/infopath/2007/PartnerControls">00f38baa-6b22-4297-ac6a-cc1a970aec5d</TermId>
        </TermInfo>
        <TermInfo xmlns="http://schemas.microsoft.com/office/infopath/2007/PartnerControls">
          <TermName xmlns="http://schemas.microsoft.com/office/infopath/2007/PartnerControls">ID #2013-006R, Regulating Reserve</TermName>
          <TermId xmlns="http://schemas.microsoft.com/office/infopath/2007/PartnerControls">12cd5b7a-3e43-4703-99cd-470b27ce3faa</TermId>
        </TermInfo>
      </Terms>
    </e4f22e6f29fb4eb6af23a655472aab9f>
    <CWRMItemRecordDeclaredDate xmlns="650fffc6-a86a-4844-afad-966e4497fd3d" xsi:nil="true"/>
    <_dlc_DocId xmlns="bfc2574c-8110-4e43-9784-1ee86de75c6c">000001KNCO</_dlc_DocId>
    <TaxCatchAll xmlns="bfc2574c-8110-4e43-9784-1ee86de75c6c">
      <Value>1589</Value>
      <Value>1587</Value>
      <Value>1322</Value>
      <Value>1578</Value>
      <Value>2465</Value>
      <Value>2464</Value>
      <Value>2463</Value>
      <Value>1348</Value>
      <Value>1271</Value>
      <Value>1529</Value>
      <Value>1593</Value>
      <Value>1592</Value>
      <Value>1591</Value>
    </TaxCatchAll>
    <e94be97ffb024deb9c3d6d978a059d35 xmlns="650fffc6-a86a-4844-afad-966e4497fd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REG-01 - Rules Development</TermName>
          <TermId xmlns="http://schemas.microsoft.com/office/infopath/2007/PartnerControls">d8c07a69-2ac5-4b34-96d7-e1add9f5d27b</TermId>
        </TermInfo>
      </Terms>
    </e94be97ffb024deb9c3d6d978a059d35>
    <CWRMItemRecordVital xmlns="650fffc6-a86a-4844-afad-966e4497fd3d">false</CWRMItemRecordVital>
    <CWRMItemRecordStatus xmlns="650fffc6-a86a-4844-afad-966e4497fd3d" xsi:nil="true"/>
    <Notes0 xmlns="28a23bd2-3667-4f3a-9f15-05647af9d31b" xsi:nil="true"/>
    <CWRMItemRecordData xmlns="650fffc6-a86a-4844-afad-966e4497fd3d">&lt;?xml version="1.0" encoding="utf-16"?&gt;&lt;RecordData xmlns:xsd="http://www.w3.org/2001/XMLSchema" xmlns:xsi="http://www.w3.org/2001/XMLSchema-instance" CurrentCategoryId="00000000-0000-0000-0000-000000000000" CurrentPolicyId="00000000-0000-0000-0000-000000000000" CurrentStageId="00000000-0000-0000-0000-000000000000" ExecuteStageImmediately="false" IsMovingPhysical="false" IsProcessing="false" OriginalCreatedDate="0001-01-01T00:00:00" OriginalModifiedDate="0001-01-01T00:00:00" ObsoleteDate="0001-01-01T00:00:00" ForceCrawl="false" DocumentSetSyncCount="0" IsPoliciesProcessed="true"&gt;&lt;LastProcessedStageId&gt;00000000-0000-0000-0000-000000000000&lt;/LastProcessedStageId&gt;&lt;LastProcessedDateValue xsi:type="xsd:dateTime"&gt;0001-01-01T00:00:00&lt;/LastProcessedDateValue&gt;&lt;SupersededInPlaceItems /&gt;&lt;AssociatedAggregates /&gt;&lt;/RecordData&gt;</CWRMItemRecordData>
    <o74c417c636446b2936ee46a3b1dd71d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Engagement</TermName>
          <TermId xmlns="http://schemas.microsoft.com/office/infopath/2007/PartnerControls">6220e8f1-840d-40ad-b65f-2194c8e12464</TermId>
        </TermInfo>
      </Terms>
    </o74c417c636446b2936ee46a3b1dd71d>
    <k64467115e4948f8a6ae90544ba894f6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Section 203.6 Available Transfer Capability and Transfer Path Management</TermName>
          <TermId xmlns="http://schemas.microsoft.com/office/infopath/2007/PartnerControls">9cfa143e-491c-41d6-8778-b02a9fe00661</TermId>
        </TermInfo>
        <TermInfo xmlns="http://schemas.microsoft.com/office/infopath/2007/PartnerControls">
          <TermName xmlns="http://schemas.microsoft.com/office/infopath/2007/PartnerControls">Section 205.1 Offers for Operating Reserve</TermName>
          <TermId xmlns="http://schemas.microsoft.com/office/infopath/2007/PartnerControls">eee4d544-1741-4740-9519-66e02965d461</TermId>
        </TermInfo>
        <TermInfo xmlns="http://schemas.microsoft.com/office/infopath/2007/PartnerControls">
          <TermName xmlns="http://schemas.microsoft.com/office/infopath/2007/PartnerControls">Section 205.3 Restatements for Operating Reserve</TermName>
          <TermId xmlns="http://schemas.microsoft.com/office/infopath/2007/PartnerControls">6753baad-1011-4dac-bdd5-2a7dcddc38cf</TermId>
        </TermInfo>
        <TermInfo xmlns="http://schemas.microsoft.com/office/infopath/2007/PartnerControls">
          <TermName xmlns="http://schemas.microsoft.com/office/infopath/2007/PartnerControls">Section 205.5 Spinning Reserve Technical Requirements and Performance Standards</TermName>
          <TermId xmlns="http://schemas.microsoft.com/office/infopath/2007/PartnerControls">7aac42a7-b30b-4ef2-8b5b-22bf90fec711</TermId>
        </TermInfo>
        <TermInfo xmlns="http://schemas.microsoft.com/office/infopath/2007/PartnerControls">
          <TermName xmlns="http://schemas.microsoft.com/office/infopath/2007/PartnerControls">Section 205.6 Supplemental Reserve Technical Requirements and Performance Standards</TermName>
          <TermId xmlns="http://schemas.microsoft.com/office/infopath/2007/PartnerControls">1f5a3155-7fca-46b9-a216-3e64cb9994da</TermId>
        </TermInfo>
        <TermInfo xmlns="http://schemas.microsoft.com/office/infopath/2007/PartnerControls">
          <TermName xmlns="http://schemas.microsoft.com/office/infopath/2007/PartnerControls">Section 302.1 Real Time Transmission Constraint Management</TermName>
          <TermId xmlns="http://schemas.microsoft.com/office/infopath/2007/PartnerControls">f73277c8-64a9-45fc-a1aa-a726f550bb6e</TermId>
        </TermInfo>
      </Terms>
    </k64467115e4948f8a6ae90544ba894f6>
    <nc9abd60d2924b6a80e31aa92886dd82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Markets</TermName>
          <TermId xmlns="http://schemas.microsoft.com/office/infopath/2007/PartnerControls">15f241a2-070b-4f95-b89e-6f4a51567de7</TermId>
        </TermInfo>
      </Terms>
    </nc9abd60d2924b6a80e31aa92886dd82>
    <Activity_x0020_Complete_x0020_Date xmlns="bfc2574c-8110-4e43-9784-1ee86de75c6c" xsi:nil="true"/>
    <_dlc_DocIdUrl xmlns="bfc2574c-8110-4e43-9784-1ee86de75c6c">
      <Url>https://share.aeso.ca/sites/records-law/LARA/_layouts/15/DocIdRedir.aspx?ID=000001KNCO</Url>
      <Description>000001KNCO</Description>
    </_dlc_DocIdUrl>
    <fdc7710463144dc19a8992998d0907da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AESO Internal</TermName>
          <TermId xmlns="http://schemas.microsoft.com/office/infopath/2007/PartnerControls">fe2129cc-e616-4c1e-9a39-b6921e014562</TermId>
        </TermInfo>
      </Terms>
    </fdc7710463144dc19a8992998d0907da>
    <n920abf613194d45b14af8191f159b16 xmlns="bfc2574c-8110-4e43-9784-1ee86de75c6c">
      <Terms xmlns="http://schemas.microsoft.com/office/infopath/2007/PartnerControls"/>
    </n920abf613194d45b14af8191f159b16>
    <CWRMItemUniqueId xmlns="650fffc6-a86a-4844-afad-966e4497fd3d">000001KNCO</CWRMItemUniqueId>
    <LARA_x0020_Status xmlns="bfc2574c-8110-4e43-9784-1ee86de75c6c">Active</LARA_x0020_Status>
  </documentManagement>
</p:properties>
</file>

<file path=customXml/itemProps1.xml><?xml version="1.0" encoding="utf-8"?>
<ds:datastoreItem xmlns:ds="http://schemas.openxmlformats.org/officeDocument/2006/customXml" ds:itemID="{19DCDDBA-268B-4F28-A92D-A1270C63625D}"/>
</file>

<file path=customXml/itemProps2.xml><?xml version="1.0" encoding="utf-8"?>
<ds:datastoreItem xmlns:ds="http://schemas.openxmlformats.org/officeDocument/2006/customXml" ds:itemID="{51B0F6E8-ECE4-4928-AF70-C4B9E23508AB}"/>
</file>

<file path=customXml/itemProps3.xml><?xml version="1.0" encoding="utf-8"?>
<ds:datastoreItem xmlns:ds="http://schemas.openxmlformats.org/officeDocument/2006/customXml" ds:itemID="{866C17F1-CDD5-4C3D-8E80-11807B792C66}"/>
</file>

<file path=customXml/itemProps4.xml><?xml version="1.0" encoding="utf-8"?>
<ds:datastoreItem xmlns:ds="http://schemas.openxmlformats.org/officeDocument/2006/customXml" ds:itemID="{DCB07501-AE2B-4D71-BC47-25F677AC364A}"/>
</file>

<file path=customXml/itemProps5.xml><?xml version="1.0" encoding="utf-8"?>
<ds:datastoreItem xmlns:ds="http://schemas.openxmlformats.org/officeDocument/2006/customXml" ds:itemID="{4E97479A-505D-4A75-97D0-79CA67D70F19}"/>
</file>

<file path=customXml/itemProps6.xml><?xml version="1.0" encoding="utf-8"?>
<ds:datastoreItem xmlns:ds="http://schemas.openxmlformats.org/officeDocument/2006/customXml" ds:itemID="{CE70D938-92B4-4577-A20D-24AC12AE358E}"/>
</file>

<file path=customXml/itemProps7.xml><?xml version="1.0" encoding="utf-8"?>
<ds:datastoreItem xmlns:ds="http://schemas.openxmlformats.org/officeDocument/2006/customXml" ds:itemID="{5F80AA48-9F3C-4B37-AFCA-29B3B6EF3BC9}"/>
</file>

<file path=docMetadata/LabelInfo.xml><?xml version="1.0" encoding="utf-8"?>
<clbl:labelList xmlns:clbl="http://schemas.microsoft.com/office/2020/mipLabelMetadata">
  <clbl:label id="{854f2212-fe43-4578-b841-38c95b77cb60}" enabled="1" method="Privileged" siteId="{9869aa0d-ebba-4f8c-9399-7dff7665b1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703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2022-09-12T18:13:00Z</dcterms:created>
  <dcterms:modified xsi:type="dcterms:W3CDTF">2022-09-12T18:13:00Z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lated Definition">
    <vt:lpwstr/>
  </property>
  <property fmtid="{D5CDD505-2E9C-101B-9397-08002B2CF9AE}" pid="3" name="Order">
    <vt:lpwstr>76100.0000000000</vt:lpwstr>
  </property>
  <property fmtid="{D5CDD505-2E9C-101B-9397-08002B2CF9AE}" pid="4" name="MSIP_Label_854f2212-fe43-4578-b841-38c95b77cb60_Enabled">
    <vt:lpwstr>true</vt:lpwstr>
  </property>
  <property fmtid="{D5CDD505-2E9C-101B-9397-08002B2CF9AE}" pid="5" name="MSIP_Label_854f2212-fe43-4578-b841-38c95b77cb60_Name">
    <vt:lpwstr>AESO Internal Protected Document</vt:lpwstr>
  </property>
  <property fmtid="{D5CDD505-2E9C-101B-9397-08002B2CF9AE}" pid="6" name="Related ADs">
    <vt:lpwstr>1578;#Section 203.6 Available Transfer Capability and Transfer Path Management|9cfa143e-491c-41d6-8778-b02a9fe00661;#1587;#Section 205.1 Offers for Operating Reserve|eee4d544-1741-4740-9519-66e02965d461;#1589;#Section 205.3 Restatements for Operating Reserve|6753baad-1011-4dac-bdd5-2a7dcddc38cf;#1591;#Section 205.5 Spinning Reserve Technical Requirements and Performance Standards|7aac42a7-b30b-4ef2-8b5b-22bf90fec711;#1592;#Section 205.6 Supplemental Reserve Technical Requirements and Performance Standards|1f5a3155-7fca-46b9-a216-3e64cb9994da;#1593;#Section 302.1 Real Time Transmission Constraint Management|f73277c8-64a9-45fc-a1aa-a726f550bb6e</vt:lpwstr>
  </property>
  <property fmtid="{D5CDD505-2E9C-101B-9397-08002B2CF9AE}" pid="7" name="xd_ProgID">
    <vt:lpwstr/>
  </property>
  <property fmtid="{D5CDD505-2E9C-101B-9397-08002B2CF9AE}" pid="8" name="DocumentSetDescription">
    <vt:lpwstr/>
  </property>
  <property fmtid="{D5CDD505-2E9C-101B-9397-08002B2CF9AE}" pid="9" name="ContentTypeId">
    <vt:lpwstr>0x010100BC84ACA119491D43B8AEA0C41A758E3B0B0200397878E89679484694B50D60D7FD0D94</vt:lpwstr>
  </property>
  <property fmtid="{D5CDD505-2E9C-101B-9397-08002B2CF9AE}" pid="10" name="i25e9ceaa7c2448f9c5e0f14e0ef915a">
    <vt:lpwstr/>
  </property>
  <property fmtid="{D5CDD505-2E9C-101B-9397-08002B2CF9AE}" pid="11" name="MSIP_Label_854f2212-fe43-4578-b841-38c95b77cb60_SetDate">
    <vt:lpwstr>2022-04-12T16:17:41Z</vt:lpwstr>
  </property>
  <property fmtid="{D5CDD505-2E9C-101B-9397-08002B2CF9AE}" pid="12" name="Confidentiality Classification">
    <vt:lpwstr>1271;#AESO Internal|fe2129cc-e616-4c1e-9a39-b6921e014562</vt:lpwstr>
  </property>
  <property fmtid="{D5CDD505-2E9C-101B-9397-08002B2CF9AE}" pid="13" name="TemplateUrl">
    <vt:lpwstr/>
  </property>
  <property fmtid="{D5CDD505-2E9C-101B-9397-08002B2CF9AE}" pid="14" name="MSIP_Label_854f2212-fe43-4578-b841-38c95b77cb60_SiteId">
    <vt:lpwstr>9869aa0d-ebba-4f8c-9399-7dff7665b1d1</vt:lpwstr>
  </property>
  <property fmtid="{D5CDD505-2E9C-101B-9397-08002B2CF9AE}" pid="15" name="MSIP_Label_854f2212-fe43-4578-b841-38c95b77cb60_Method">
    <vt:lpwstr>Privileged</vt:lpwstr>
  </property>
  <property fmtid="{D5CDD505-2E9C-101B-9397-08002B2CF9AE}" pid="16" name="MSIP_Label_854f2212-fe43-4578-b841-38c95b77cb60_ActionId">
    <vt:lpwstr>e5754393-f4f2-4509-afd0-1d5c9b7fbabc</vt:lpwstr>
  </property>
  <property fmtid="{D5CDD505-2E9C-101B-9397-08002B2CF9AE}" pid="17" name="Related IDs">
    <vt:lpwstr>2463;#ID #2013 005R, Operating Reserve|2e10ee4d-666c-4399-a98c-e5322bbdbd3d;#2464;#ID #2013-007R, Contingency Reserve|00f38baa-6b22-4297-ac6a-cc1a970aec5d;#2465;#ID #2013-006R, Regulating Reserve|12cd5b7a-3e43-4703-99cd-470b27ce3faa</vt:lpwstr>
  </property>
  <property fmtid="{D5CDD505-2E9C-101B-9397-08002B2CF9AE}" pid="18" name="_dlc_DocIdItemGuid">
    <vt:lpwstr>f98b39b1-59ed-40ce-9241-0fd90194eae6</vt:lpwstr>
  </property>
  <property fmtid="{D5CDD505-2E9C-101B-9397-08002B2CF9AE}" pid="19" name="ConsultationRound">
    <vt:lpwstr/>
  </property>
  <property fmtid="{D5CDD505-2E9C-101B-9397-08002B2CF9AE}" pid="20" name="Division">
    <vt:lpwstr/>
  </property>
  <property fmtid="{D5CDD505-2E9C-101B-9397-08002B2CF9AE}" pid="21" name="CWRMItemRecordClassification">
    <vt:lpwstr>1322;#REG-01 - Rules Development|d8c07a69-2ac5-4b34-96d7-e1add9f5d27b</vt:lpwstr>
  </property>
  <property fmtid="{D5CDD505-2E9C-101B-9397-08002B2CF9AE}" pid="22" name="Business Unit(s)">
    <vt:lpwstr>1529;#Markets|15f241a2-070b-4f95-b89e-6f4a51567de7</vt:lpwstr>
  </property>
  <property fmtid="{D5CDD505-2E9C-101B-9397-08002B2CF9AE}" pid="23" name="LARA Category0">
    <vt:lpwstr>1348;#Stakeholder Engagement|6220e8f1-840d-40ad-b65f-2194c8e12464</vt:lpwstr>
  </property>
  <property fmtid="{D5CDD505-2E9C-101B-9397-08002B2CF9AE}" pid="24" name="DocumentDate">
    <vt:lpwstr/>
  </property>
  <property fmtid="{D5CDD505-2E9C-101B-9397-08002B2CF9AE}" pid="25" name="_docset_NoMedatataSyncRequired">
    <vt:lpwstr>False</vt:lpwstr>
  </property>
  <property fmtid="{D5CDD505-2E9C-101B-9397-08002B2CF9AE}" pid="26" name="MSIP_Label_854f2212-fe43-4578-b841-38c95b77cb60_ContentBits">
    <vt:lpwstr>0</vt:lpwstr>
  </property>
</Properties>
</file>