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811E7F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811E7F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811E7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DE5E6F" w:rsidRPr="00DE5E6F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BCE" w:rsidRPr="00D72BCE">
              <w:rPr>
                <w:rFonts w:ascii="Arial" w:hAnsi="Arial" w:cs="Arial"/>
                <w:sz w:val="20"/>
                <w:szCs w:val="20"/>
              </w:rPr>
              <w:t>103.10</w:t>
            </w:r>
            <w:r w:rsidR="00826007" w:rsidRPr="00826007">
              <w:rPr>
                <w:rFonts w:ascii="Arial" w:hAnsi="Arial" w:cs="Arial"/>
                <w:i/>
                <w:sz w:val="20"/>
                <w:szCs w:val="20"/>
              </w:rPr>
              <w:t>, Capacity Award Calculation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57" w:rsidRDefault="002D2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2D265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2D265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New ISO Rule – Section </w:t>
    </w:r>
    <w:r w:rsidR="00D72BCE" w:rsidRPr="00D72BCE">
      <w:rPr>
        <w:rFonts w:ascii="Arial" w:hAnsi="Arial" w:cs="Arial"/>
        <w:sz w:val="18"/>
        <w:szCs w:val="18"/>
      </w:rPr>
      <w:t>103.10</w:t>
    </w:r>
    <w:r w:rsidR="00826007" w:rsidRPr="00826007">
      <w:rPr>
        <w:rFonts w:ascii="Arial" w:hAnsi="Arial" w:cs="Arial"/>
        <w:i/>
        <w:sz w:val="18"/>
        <w:szCs w:val="18"/>
      </w:rPr>
      <w:t>, Capacity Award Calculation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2D2657">
    <w:pPr>
      <w:pStyle w:val="Footer"/>
      <w:tabs>
        <w:tab w:val="clear" w:pos="4320"/>
        <w:tab w:val="center" w:pos="7920"/>
        <w:tab w:val="left" w:pos="8640"/>
        <w:tab w:val="right" w:pos="17910"/>
      </w:tabs>
      <w:ind w:left="-720"/>
      <w:rPr>
        <w:rFonts w:ascii="Arial" w:hAnsi="Arial" w:cs="Arial"/>
        <w:sz w:val="18"/>
        <w:szCs w:val="18"/>
      </w:rPr>
    </w:pPr>
    <w:bookmarkStart w:id="3" w:name="_GoBack"/>
    <w:bookmarkEnd w:id="3"/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2D2657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2D2657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New ISO Rule – Section </w:t>
    </w:r>
    <w:r w:rsidR="00D72BCE" w:rsidRPr="00D72BCE">
      <w:rPr>
        <w:rFonts w:ascii="Arial" w:hAnsi="Arial" w:cs="Arial"/>
        <w:sz w:val="18"/>
        <w:szCs w:val="18"/>
      </w:rPr>
      <w:t>103.10</w:t>
    </w:r>
    <w:r w:rsidR="00826007" w:rsidRPr="00826007">
      <w:rPr>
        <w:rFonts w:ascii="Arial" w:hAnsi="Arial" w:cs="Arial"/>
        <w:i/>
        <w:sz w:val="18"/>
        <w:szCs w:val="18"/>
      </w:rPr>
      <w:t>, Capacity Award Calculation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57" w:rsidRDefault="002D2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4F15C42" wp14:editId="2A6D0F25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D72BCE" w:rsidRPr="00D72BCE">
      <w:rPr>
        <w:rFonts w:ascii="Arial" w:hAnsi="Arial" w:cs="Arial"/>
        <w:b/>
        <w:color w:val="FFFFFF" w:themeColor="background1"/>
        <w:sz w:val="28"/>
        <w:szCs w:val="20"/>
      </w:rPr>
      <w:t>103.10</w:t>
    </w:r>
    <w:r w:rsidR="00826007" w:rsidRPr="00826007">
      <w:rPr>
        <w:rFonts w:ascii="Arial" w:hAnsi="Arial" w:cs="Arial"/>
        <w:b/>
        <w:i/>
        <w:color w:val="FFFFFF" w:themeColor="background1"/>
        <w:sz w:val="28"/>
        <w:szCs w:val="20"/>
      </w:rPr>
      <w:t>, Capacity Award Calculation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17690E4E" wp14:editId="345693D0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6EB0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2657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1E7F"/>
    <w:rsid w:val="00817D75"/>
    <w:rsid w:val="00825D72"/>
    <w:rsid w:val="00826007"/>
    <w:rsid w:val="008260C3"/>
    <w:rsid w:val="00826524"/>
    <w:rsid w:val="0083123C"/>
    <w:rsid w:val="008344FD"/>
    <w:rsid w:val="00835FBA"/>
    <w:rsid w:val="00842FD3"/>
    <w:rsid w:val="008453F4"/>
    <w:rsid w:val="00846017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A29"/>
    <w:rsid w:val="00C6023B"/>
    <w:rsid w:val="00C60D5F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2BCE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68E9"/>
    <w:rsid w:val="00DD1BB2"/>
    <w:rsid w:val="00DD23CD"/>
    <w:rsid w:val="00DD323C"/>
    <w:rsid w:val="00DD52E2"/>
    <w:rsid w:val="00DE218F"/>
    <w:rsid w:val="00DE21A4"/>
    <w:rsid w:val="00DE530E"/>
    <w:rsid w:val="00DE5E6F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07CFE7-CF30-4914-8ECE-808F2B5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2018-10-26T15:45:00Z</dcterms:created>
  <dcterms:modified xsi:type="dcterms:W3CDTF">2018-10-26T17:06:00Z</dcterms:modified>
</cp:coreProperties>
</file>