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20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December 5, 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 xml:space="preserve">Please provide your comments on the following (as set out in AUC Rule 017 s. </w:t>
      </w:r>
      <w:r w:rsidR="009D3F11">
        <w:rPr>
          <w:rFonts w:ascii="Arial" w:hAnsi="Arial" w:cs="Arial"/>
          <w:b/>
          <w:i/>
          <w:szCs w:val="20"/>
        </w:rPr>
        <w:t>7.2</w:t>
      </w:r>
      <w:r w:rsidRPr="002E641E">
        <w:rPr>
          <w:rFonts w:ascii="Arial" w:hAnsi="Arial" w:cs="Arial"/>
          <w:b/>
          <w:i/>
          <w:szCs w:val="20"/>
        </w:rPr>
        <w:t>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1BEA" w:rsidRDefault="00C11BEA">
            <w:pPr>
              <w:keepNext/>
              <w:spacing w:before="120" w:after="12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are of the view that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Proposed Amended 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understand and agree with the objective or purpose of proposed amended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 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whether, in your view,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how, in your view,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C11BEA" w:rsidRDefault="00C11BE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agree with proposed amended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67CF5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F67CF5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 w:rsidR="00F6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would suggest any alternatives to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proposed amended 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ISO Rule – Section 103.2, </w:t>
            </w:r>
            <w:r w:rsidR="004C1457" w:rsidRPr="004C1457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11" w:rsidRPr="00752820" w:rsidTr="009F0E65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9D3F11" w:rsidRDefault="009D3F11" w:rsidP="009F0E6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9D3F11" w:rsidRPr="00752820" w:rsidRDefault="009D3F11" w:rsidP="009F0E6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  <w:bookmarkStart w:id="3" w:name="_GoBack"/>
            <w:bookmarkEnd w:id="3"/>
          </w:p>
        </w:tc>
        <w:tc>
          <w:tcPr>
            <w:tcW w:w="12544" w:type="dxa"/>
            <w:shd w:val="clear" w:color="auto" w:fill="auto"/>
          </w:tcPr>
          <w:p w:rsidR="009D3F11" w:rsidRPr="00752820" w:rsidRDefault="009D3F11" w:rsidP="009F0E6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Issued for Stakeholder Comment: </w:t>
    </w:r>
    <w:r w:rsidR="00C11BEA">
      <w:rPr>
        <w:rFonts w:ascii="Arial" w:hAnsi="Arial" w:cs="Arial"/>
        <w:sz w:val="18"/>
        <w:szCs w:val="18"/>
      </w:rPr>
      <w:t>November 20,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67CF5">
      <w:rPr>
        <w:rFonts w:ascii="Arial" w:hAnsi="Arial" w:cs="Arial"/>
        <w:noProof/>
        <w:sz w:val="18"/>
        <w:szCs w:val="18"/>
      </w:rPr>
      <w:t>2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67CF5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C11BEA">
      <w:rPr>
        <w:rFonts w:ascii="Arial" w:hAnsi="Arial" w:cs="Arial"/>
        <w:sz w:val="18"/>
        <w:szCs w:val="18"/>
      </w:rPr>
      <w:t xml:space="preserve">201.1, </w:t>
    </w:r>
    <w:r w:rsidR="00C11BEA" w:rsidRPr="00C11BEA">
      <w:rPr>
        <w:rFonts w:ascii="Arial" w:hAnsi="Arial" w:cs="Arial"/>
        <w:i/>
        <w:sz w:val="18"/>
        <w:szCs w:val="18"/>
      </w:rPr>
      <w:t xml:space="preserve">Pool Participant Registration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7622">
      <w:rPr>
        <w:rFonts w:ascii="Arial" w:hAnsi="Arial" w:cs="Arial"/>
        <w:sz w:val="18"/>
        <w:szCs w:val="18"/>
      </w:rPr>
      <w:t>November 20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67CF5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67CF5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FA08B2">
      <w:rPr>
        <w:rFonts w:ascii="Arial" w:hAnsi="Arial" w:cs="Arial"/>
        <w:sz w:val="18"/>
        <w:szCs w:val="18"/>
      </w:rPr>
      <w:t>103.2</w:t>
    </w:r>
    <w:r w:rsidRPr="00AA5B41">
      <w:rPr>
        <w:rFonts w:ascii="Arial" w:hAnsi="Arial" w:cs="Arial"/>
        <w:sz w:val="18"/>
        <w:szCs w:val="18"/>
      </w:rPr>
      <w:t xml:space="preserve">, </w:t>
    </w:r>
    <w:r w:rsidR="00FA08B2" w:rsidRPr="00FA08B2">
      <w:rPr>
        <w:rFonts w:ascii="Arial" w:hAnsi="Arial" w:cs="Arial"/>
        <w:i/>
        <w:sz w:val="18"/>
        <w:szCs w:val="18"/>
      </w:rPr>
      <w:t>Dispute Resolution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6F7622" w:rsidRPr="006F7622">
      <w:t xml:space="preserve"> 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Section 201.1, </w:t>
    </w:r>
    <w:r w:rsidR="006F7622" w:rsidRPr="006F7622">
      <w:rPr>
        <w:rFonts w:ascii="Arial" w:hAnsi="Arial" w:cs="Arial"/>
        <w:b/>
        <w:i/>
        <w:color w:val="FFFFFF" w:themeColor="background1"/>
        <w:sz w:val="28"/>
        <w:szCs w:val="20"/>
      </w:rPr>
      <w:t>Pool Participant Registration</w:t>
    </w:r>
    <w:r w:rsidR="00737346" w:rsidRPr="006F7622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290C2075" wp14:editId="5145EA11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4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6F7622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3F11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1BEA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17D96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67CF5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ED5C4C-5542-425C-905D-D59F7B68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1912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2018-11-20T19:33:00Z</dcterms:created>
  <dcterms:modified xsi:type="dcterms:W3CDTF">2018-11-20T19:51:00Z</dcterms:modified>
</cp:coreProperties>
</file>