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</w:t>
                  </w:r>
                  <w:r w:rsidR="0020308B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</w:t>
                  </w:r>
                  <w:r w:rsidR="00FD72B0" w:rsidRPr="00FD72B0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3265B">
        <w:rPr>
          <w:rFonts w:ascii="Arial" w:hAnsi="Arial" w:cs="Arial"/>
          <w:b/>
          <w:i/>
          <w:szCs w:val="20"/>
        </w:rPr>
        <w:t>Please include any views on</w:t>
      </w:r>
      <w:r w:rsidR="00C3265B" w:rsidRPr="00364862">
        <w:t xml:space="preserve"> </w:t>
      </w:r>
      <w:r w:rsidR="00C3265B">
        <w:rPr>
          <w:rFonts w:ascii="Arial" w:hAnsi="Arial" w:cs="Arial"/>
          <w:b/>
          <w:i/>
          <w:szCs w:val="20"/>
        </w:rPr>
        <w:t>whether</w:t>
      </w:r>
      <w:r w:rsidR="00C3265B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C3265B">
        <w:rPr>
          <w:rFonts w:ascii="Arial" w:hAnsi="Arial" w:cs="Arial"/>
          <w:b/>
          <w:i/>
          <w:szCs w:val="20"/>
        </w:rPr>
        <w:t>s</w:t>
      </w:r>
      <w:r w:rsidR="00C3265B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C3265B">
        <w:rPr>
          <w:rFonts w:ascii="Arial" w:hAnsi="Arial" w:cs="Arial"/>
          <w:b/>
          <w:i/>
          <w:szCs w:val="20"/>
        </w:rPr>
        <w:t>, and provide a</w:t>
      </w:r>
      <w:r w:rsidR="00C3265B" w:rsidRPr="00F42259">
        <w:rPr>
          <w:rFonts w:ascii="Arial" w:hAnsi="Arial" w:cs="Arial"/>
          <w:b/>
          <w:i/>
          <w:szCs w:val="20"/>
        </w:rPr>
        <w:t xml:space="preserve">ny </w:t>
      </w:r>
      <w:r w:rsidR="00C3265B" w:rsidRPr="00F42259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5F2A2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3" w:name="_GoBack"/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5F2A2F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5F2A2F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5F2A2F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5F2A2F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5F2A2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7F1658" w:rsidRPr="007F1658" w:rsidRDefault="007F1658" w:rsidP="005F2A2F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/>
                <w:b/>
                <w:bCs/>
                <w:color w:val="1F497D"/>
                <w:sz w:val="20"/>
              </w:rPr>
            </w:pPr>
            <w:r w:rsidRPr="007F1658">
              <w:rPr>
                <w:rFonts w:ascii="Arial" w:hAnsi="Arial"/>
                <w:b/>
                <w:bCs/>
                <w:color w:val="1F497D"/>
                <w:sz w:val="20"/>
              </w:rPr>
              <w:t>Requirements</w:t>
            </w:r>
          </w:p>
          <w:p w:rsidR="00430B18" w:rsidRPr="001B4855" w:rsidRDefault="007F1658" w:rsidP="005F2A2F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/>
                <w:b/>
                <w:bCs/>
                <w:color w:val="1F497D"/>
                <w:sz w:val="20"/>
              </w:rPr>
            </w:pPr>
            <w:r w:rsidRPr="007F1658">
              <w:rPr>
                <w:rFonts w:ascii="Arial" w:hAnsi="Arial"/>
                <w:b/>
                <w:bCs/>
                <w:color w:val="1F497D"/>
                <w:sz w:val="20"/>
              </w:rPr>
              <w:t>Equally-Priced Operating Blocks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5F2A2F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Default="007F1658" w:rsidP="005F2A2F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05601B" w:rsidRPr="0005601B" w:rsidRDefault="007F1658" w:rsidP="005F2A2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05601B" w:rsidRPr="007F1658" w:rsidRDefault="007F1658" w:rsidP="005F2A2F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Notwithstanding subsection 2(1) and 2(2), the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when</w:t>
            </w:r>
            <w:r w:rsidRPr="007F1658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issuing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 xml:space="preserve">dispatches 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in the energy market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merit order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 where there are 1 or more equally-priced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 xml:space="preserve">operating blocks 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>in an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 xml:space="preserve"> offer 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or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bid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 consisting of both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source assets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 and load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sink assets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, attempt to accommodate the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source assets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 before issuing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dispatches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 xml:space="preserve"> for the load </w:t>
            </w:r>
            <w:r w:rsidRPr="007F1658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sink assets</w:t>
            </w:r>
            <w:r w:rsidRPr="007F1658">
              <w:rPr>
                <w:rFonts w:ascii="Arial" w:hAnsi="Arial" w:cs="Arial"/>
                <w:iCs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5F2A2F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658" w:rsidRPr="00752820" w:rsidTr="007A5137">
        <w:tc>
          <w:tcPr>
            <w:tcW w:w="1120" w:type="dxa"/>
            <w:shd w:val="clear" w:color="auto" w:fill="auto"/>
          </w:tcPr>
          <w:p w:rsidR="007F1658" w:rsidRDefault="007F1658" w:rsidP="005F2A2F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F1658" w:rsidRDefault="007F1658" w:rsidP="005F2A2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7F1658" w:rsidRPr="007F1658" w:rsidRDefault="007F1658" w:rsidP="005F2A2F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Notwithstanding subsection 2(1), the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must:</w:t>
            </w:r>
          </w:p>
          <w:p w:rsidR="007F1658" w:rsidRPr="007F1658" w:rsidRDefault="007F1658" w:rsidP="005F2A2F">
            <w:pPr>
              <w:widowControl w:val="0"/>
              <w:spacing w:before="120" w:after="120"/>
              <w:ind w:left="1080" w:hanging="53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ab/>
              <w:t>determine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dispatch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 volumes for a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>pool asset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 that is an import asset or an export asset in accordance with the procedures set out in Section 303.3 of the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7F1658">
              <w:rPr>
                <w:rFonts w:ascii="Arial" w:hAnsi="Arial" w:cs="Arial"/>
                <w:i/>
                <w:sz w:val="20"/>
                <w:szCs w:val="20"/>
                <w:lang w:val="en-CA"/>
              </w:rPr>
              <w:t>Intertie Path Operations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; and</w:t>
            </w:r>
          </w:p>
          <w:p w:rsidR="007F1658" w:rsidRPr="007F1658" w:rsidRDefault="007F1658" w:rsidP="005F2A2F">
            <w:pPr>
              <w:widowControl w:val="0"/>
              <w:spacing w:before="120" w:after="120"/>
              <w:ind w:left="1080" w:hanging="53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(b)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proofErr w:type="gramStart"/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issue</w:t>
            </w:r>
            <w:proofErr w:type="gramEnd"/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>dispatches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 for equally priced $0.00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offers 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in accordance with Section 202.5 of the </w:t>
            </w:r>
            <w:r w:rsidRPr="007F1658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7F1658">
              <w:rPr>
                <w:rFonts w:ascii="Arial" w:hAnsi="Arial" w:cs="Arial"/>
                <w:i/>
                <w:sz w:val="20"/>
                <w:szCs w:val="20"/>
                <w:lang w:val="en-CA"/>
              </w:rPr>
              <w:t>Supply Surplus</w:t>
            </w:r>
            <w:r w:rsidRPr="007F165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7F1658" w:rsidRPr="00752820" w:rsidRDefault="007F1658" w:rsidP="005F2A2F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94684F" w:rsidRDefault="0094684F">
      <w:pPr>
        <w:rPr>
          <w:rFonts w:ascii="Arial" w:hAnsi="Arial" w:cs="Arial"/>
          <w:sz w:val="20"/>
          <w:szCs w:val="20"/>
        </w:rPr>
      </w:pPr>
    </w:p>
    <w:p w:rsidR="0094684F" w:rsidRDefault="00946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355B" w:rsidRDefault="0075355B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E04F08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944743" w:rsidRPr="00E80D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A67C15" w:rsidRPr="00A6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09E3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A67C15" w:rsidRPr="00A6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09E3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and whether, in your view,</w:t>
            </w:r>
            <w:r w:rsidR="007F56DD" w:rsidRPr="00EF4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09E3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134C5F" w:rsidRPr="001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09E3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134C5F" w:rsidRPr="001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  <w:r w:rsidR="00134C5F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EF4FCC" w:rsidRPr="00EF4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E3" w:rsidRPr="001309E3">
              <w:rPr>
                <w:rFonts w:ascii="Arial" w:hAnsi="Arial" w:cs="Arial"/>
                <w:sz w:val="20"/>
                <w:szCs w:val="20"/>
              </w:rPr>
              <w:t xml:space="preserve">Section 202.3, </w:t>
            </w:r>
            <w:r w:rsidR="001309E3" w:rsidRPr="001309E3">
              <w:rPr>
                <w:rFonts w:ascii="Arial" w:hAnsi="Arial" w:cs="Arial"/>
                <w:i/>
                <w:sz w:val="20"/>
                <w:szCs w:val="20"/>
              </w:rPr>
              <w:t>Issuing Dispatches for Equal Prices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 xml:space="preserve">amended ISO rule – </w:t>
      </w:r>
      <w:r w:rsidR="001309E3" w:rsidRPr="001309E3">
        <w:rPr>
          <w:rFonts w:ascii="Arial" w:hAnsi="Arial" w:cs="Arial"/>
          <w:b/>
          <w:i/>
          <w:szCs w:val="20"/>
        </w:rPr>
        <w:t>Section 202.3, Issuing Dispatches for Equal Prices</w:t>
      </w:r>
      <w:r w:rsidR="006F3A86">
        <w:rPr>
          <w:rFonts w:ascii="Arial" w:hAnsi="Arial" w:cs="Arial"/>
          <w:b/>
          <w:i/>
          <w:szCs w:val="20"/>
        </w:rPr>
        <w:t>.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A93AB4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7F1658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7F1658">
      <w:rPr>
        <w:rFonts w:ascii="Arial" w:hAnsi="Arial" w:cs="Arial"/>
        <w:noProof/>
        <w:sz w:val="18"/>
        <w:szCs w:val="18"/>
      </w:rPr>
      <w:t>4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  <w:r w:rsidR="003956FB">
      <w:rPr>
        <w:rFonts w:ascii="Arial" w:hAnsi="Arial" w:cs="Arial"/>
        <w:sz w:val="18"/>
        <w:szCs w:val="18"/>
      </w:rPr>
      <w:br/>
    </w:r>
    <w:r w:rsidR="001309E3" w:rsidRPr="001309E3">
      <w:rPr>
        <w:rFonts w:ascii="Arial" w:hAnsi="Arial" w:cs="Arial"/>
        <w:b/>
        <w:sz w:val="18"/>
        <w:szCs w:val="18"/>
      </w:rPr>
      <w:t xml:space="preserve">Section 202.3, </w:t>
    </w:r>
    <w:r w:rsidR="001309E3" w:rsidRPr="001309E3">
      <w:rPr>
        <w:rFonts w:ascii="Arial" w:hAnsi="Arial" w:cs="Arial"/>
        <w:b/>
        <w:i/>
        <w:sz w:val="18"/>
        <w:szCs w:val="18"/>
      </w:rPr>
      <w:t>Issuing Dispatches for Equal Prices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3A86">
      <w:rPr>
        <w:rFonts w:ascii="Arial" w:hAnsi="Arial" w:cs="Arial"/>
        <w:sz w:val="18"/>
        <w:szCs w:val="18"/>
      </w:rPr>
      <w:t>September 7</w:t>
    </w:r>
    <w:r w:rsidR="002773A8">
      <w:rPr>
        <w:rFonts w:ascii="Arial" w:hAnsi="Arial" w:cs="Arial"/>
        <w:sz w:val="18"/>
        <w:szCs w:val="18"/>
      </w:rPr>
      <w:t>,</w:t>
    </w:r>
    <w:r w:rsidR="00752820" w:rsidRPr="00752820">
      <w:rPr>
        <w:rFonts w:ascii="Arial" w:hAnsi="Arial" w:cs="Arial"/>
        <w:sz w:val="18"/>
        <w:szCs w:val="18"/>
      </w:rPr>
      <w:t xml:space="preserve">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F2A2F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F2A2F">
      <w:rPr>
        <w:rFonts w:ascii="Arial" w:hAnsi="Arial" w:cs="Arial"/>
        <w:noProof/>
        <w:sz w:val="18"/>
        <w:szCs w:val="18"/>
      </w:rPr>
      <w:t>4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6F3A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E80D2E" w:rsidRPr="00E80D2E" w:rsidRDefault="00B717CF" w:rsidP="00E80D2E">
    <w:pPr>
      <w:pStyle w:val="Header"/>
      <w:ind w:left="-630"/>
      <w:rPr>
        <w:rFonts w:ascii="Arial" w:hAnsi="Arial" w:cs="Arial"/>
        <w:b/>
        <w:i/>
        <w:color w:val="FFFFFF" w:themeColor="background1"/>
        <w:sz w:val="28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E80D2E" w:rsidRPr="00E80D2E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1309E3" w:rsidRPr="001309E3">
      <w:rPr>
        <w:rFonts w:ascii="Arial" w:hAnsi="Arial" w:cs="Arial"/>
        <w:b/>
        <w:color w:val="FFFFFF" w:themeColor="background1"/>
        <w:sz w:val="28"/>
        <w:szCs w:val="20"/>
      </w:rPr>
      <w:t xml:space="preserve">202.3, </w:t>
    </w:r>
    <w:r w:rsidR="001309E3" w:rsidRPr="001309E3">
      <w:rPr>
        <w:rFonts w:ascii="Arial" w:hAnsi="Arial" w:cs="Arial"/>
        <w:b/>
        <w:i/>
        <w:color w:val="FFFFFF" w:themeColor="background1"/>
        <w:sz w:val="28"/>
        <w:szCs w:val="20"/>
      </w:rPr>
      <w:t>Issuing Dispatches for Equal Prices</w:t>
    </w:r>
  </w:p>
  <w:p w:rsidR="00133EF6" w:rsidRPr="00EF4FCC" w:rsidRDefault="00133EF6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291C17B5" wp14:editId="35C651AC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7B"/>
    <w:multiLevelType w:val="hybridMultilevel"/>
    <w:tmpl w:val="982A1C0C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A2112E"/>
    <w:multiLevelType w:val="multilevel"/>
    <w:tmpl w:val="4648B490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5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1BCA"/>
    <w:multiLevelType w:val="hybridMultilevel"/>
    <w:tmpl w:val="60340A4E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FF8"/>
    <w:multiLevelType w:val="hybridMultilevel"/>
    <w:tmpl w:val="290871BA"/>
    <w:lvl w:ilvl="0" w:tplc="82BA8AE0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A57"/>
    <w:multiLevelType w:val="hybridMultilevel"/>
    <w:tmpl w:val="318AE406"/>
    <w:lvl w:ilvl="0" w:tplc="9708955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7D256A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4800967"/>
    <w:multiLevelType w:val="hybridMultilevel"/>
    <w:tmpl w:val="895625A6"/>
    <w:lvl w:ilvl="0" w:tplc="9E78E37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13726"/>
    <w:multiLevelType w:val="hybridMultilevel"/>
    <w:tmpl w:val="E3E69574"/>
    <w:lvl w:ilvl="0" w:tplc="C1FA4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855B1"/>
    <w:multiLevelType w:val="hybridMultilevel"/>
    <w:tmpl w:val="8ACC2142"/>
    <w:lvl w:ilvl="0" w:tplc="C05E7264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7"/>
  </w:num>
  <w:num w:numId="5">
    <w:abstractNumId w:val="18"/>
  </w:num>
  <w:num w:numId="6">
    <w:abstractNumId w:val="23"/>
  </w:num>
  <w:num w:numId="7">
    <w:abstractNumId w:val="21"/>
  </w:num>
  <w:num w:numId="8">
    <w:abstractNumId w:val="1"/>
  </w:num>
  <w:num w:numId="9">
    <w:abstractNumId w:val="20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26"/>
  </w:num>
  <w:num w:numId="17">
    <w:abstractNumId w:val="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0"/>
  </w:num>
  <w:num w:numId="23">
    <w:abstractNumId w:val="9"/>
  </w:num>
  <w:num w:numId="24">
    <w:abstractNumId w:val="25"/>
  </w:num>
  <w:num w:numId="25">
    <w:abstractNumId w:val="4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294"/>
    <w:rsid w:val="00005979"/>
    <w:rsid w:val="000075A3"/>
    <w:rsid w:val="0001462A"/>
    <w:rsid w:val="000150CE"/>
    <w:rsid w:val="00020497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2E9E"/>
    <w:rsid w:val="00074616"/>
    <w:rsid w:val="00081C84"/>
    <w:rsid w:val="00091313"/>
    <w:rsid w:val="00091699"/>
    <w:rsid w:val="00091BE3"/>
    <w:rsid w:val="00092E04"/>
    <w:rsid w:val="00097373"/>
    <w:rsid w:val="000A63F1"/>
    <w:rsid w:val="000A70BC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09E3"/>
    <w:rsid w:val="00132D00"/>
    <w:rsid w:val="00133EF6"/>
    <w:rsid w:val="00134C5F"/>
    <w:rsid w:val="00137536"/>
    <w:rsid w:val="00147FEF"/>
    <w:rsid w:val="00160738"/>
    <w:rsid w:val="001631F0"/>
    <w:rsid w:val="00164E6F"/>
    <w:rsid w:val="001656C8"/>
    <w:rsid w:val="001724F8"/>
    <w:rsid w:val="00180BF7"/>
    <w:rsid w:val="00183D00"/>
    <w:rsid w:val="00185DC3"/>
    <w:rsid w:val="00190831"/>
    <w:rsid w:val="00191574"/>
    <w:rsid w:val="001A566B"/>
    <w:rsid w:val="001B4855"/>
    <w:rsid w:val="001B78E4"/>
    <w:rsid w:val="001C5D7B"/>
    <w:rsid w:val="001D19BC"/>
    <w:rsid w:val="001E00DD"/>
    <w:rsid w:val="001E67AD"/>
    <w:rsid w:val="001E6EC9"/>
    <w:rsid w:val="001F291A"/>
    <w:rsid w:val="001F4025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2E04"/>
    <w:rsid w:val="002358D2"/>
    <w:rsid w:val="002517F8"/>
    <w:rsid w:val="002576EB"/>
    <w:rsid w:val="00262462"/>
    <w:rsid w:val="00264D21"/>
    <w:rsid w:val="002659AF"/>
    <w:rsid w:val="002678DD"/>
    <w:rsid w:val="00267D65"/>
    <w:rsid w:val="00273ACB"/>
    <w:rsid w:val="002755AE"/>
    <w:rsid w:val="002770BD"/>
    <w:rsid w:val="002773A8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0604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30E4"/>
    <w:rsid w:val="0038533C"/>
    <w:rsid w:val="00385898"/>
    <w:rsid w:val="00387F74"/>
    <w:rsid w:val="003956FB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20FA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0B18"/>
    <w:rsid w:val="00433B5B"/>
    <w:rsid w:val="0043567E"/>
    <w:rsid w:val="00437558"/>
    <w:rsid w:val="00444A72"/>
    <w:rsid w:val="00447116"/>
    <w:rsid w:val="004562D8"/>
    <w:rsid w:val="00461454"/>
    <w:rsid w:val="004620DF"/>
    <w:rsid w:val="00471FF7"/>
    <w:rsid w:val="00481472"/>
    <w:rsid w:val="0048255D"/>
    <w:rsid w:val="00487638"/>
    <w:rsid w:val="00491AB2"/>
    <w:rsid w:val="0049268A"/>
    <w:rsid w:val="00493CF2"/>
    <w:rsid w:val="004960CB"/>
    <w:rsid w:val="004A563D"/>
    <w:rsid w:val="004B336C"/>
    <w:rsid w:val="004B4914"/>
    <w:rsid w:val="004B7957"/>
    <w:rsid w:val="004C1E5F"/>
    <w:rsid w:val="004C5264"/>
    <w:rsid w:val="004C650B"/>
    <w:rsid w:val="004D0BCE"/>
    <w:rsid w:val="004D244A"/>
    <w:rsid w:val="004D31C9"/>
    <w:rsid w:val="005020ED"/>
    <w:rsid w:val="00503E0C"/>
    <w:rsid w:val="00510A06"/>
    <w:rsid w:val="0051450C"/>
    <w:rsid w:val="005168D2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3E55"/>
    <w:rsid w:val="00587DC7"/>
    <w:rsid w:val="005912D8"/>
    <w:rsid w:val="00595C89"/>
    <w:rsid w:val="005A17A8"/>
    <w:rsid w:val="005A27D2"/>
    <w:rsid w:val="005A3930"/>
    <w:rsid w:val="005A7E4D"/>
    <w:rsid w:val="005C161D"/>
    <w:rsid w:val="005E401A"/>
    <w:rsid w:val="005E5B6C"/>
    <w:rsid w:val="005F0559"/>
    <w:rsid w:val="005F2A2F"/>
    <w:rsid w:val="006011E5"/>
    <w:rsid w:val="00611C57"/>
    <w:rsid w:val="00613BFA"/>
    <w:rsid w:val="0061591A"/>
    <w:rsid w:val="00617102"/>
    <w:rsid w:val="00623CFF"/>
    <w:rsid w:val="00627A8C"/>
    <w:rsid w:val="00631BB4"/>
    <w:rsid w:val="00634F5E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3A86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2FA9"/>
    <w:rsid w:val="00763D54"/>
    <w:rsid w:val="00765D7E"/>
    <w:rsid w:val="00773492"/>
    <w:rsid w:val="00777859"/>
    <w:rsid w:val="007852ED"/>
    <w:rsid w:val="007862A5"/>
    <w:rsid w:val="007A0CE2"/>
    <w:rsid w:val="007B2F90"/>
    <w:rsid w:val="007B6099"/>
    <w:rsid w:val="007B7EE9"/>
    <w:rsid w:val="007C1CCA"/>
    <w:rsid w:val="007C2FDA"/>
    <w:rsid w:val="007C64CD"/>
    <w:rsid w:val="007D6192"/>
    <w:rsid w:val="007E20B6"/>
    <w:rsid w:val="007E3BC5"/>
    <w:rsid w:val="007F1658"/>
    <w:rsid w:val="007F4941"/>
    <w:rsid w:val="007F5024"/>
    <w:rsid w:val="007F56DD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531F8"/>
    <w:rsid w:val="00861A39"/>
    <w:rsid w:val="008645B1"/>
    <w:rsid w:val="00867CE5"/>
    <w:rsid w:val="00882CB0"/>
    <w:rsid w:val="00884FF6"/>
    <w:rsid w:val="00890030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4743"/>
    <w:rsid w:val="0094684F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6BF"/>
    <w:rsid w:val="009B6D8E"/>
    <w:rsid w:val="009C3252"/>
    <w:rsid w:val="009D2E0F"/>
    <w:rsid w:val="009D6CD0"/>
    <w:rsid w:val="009E7E40"/>
    <w:rsid w:val="00A01000"/>
    <w:rsid w:val="00A051AF"/>
    <w:rsid w:val="00A06F0D"/>
    <w:rsid w:val="00A23908"/>
    <w:rsid w:val="00A24F86"/>
    <w:rsid w:val="00A2608E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C15"/>
    <w:rsid w:val="00A67DD2"/>
    <w:rsid w:val="00A7577C"/>
    <w:rsid w:val="00A77CFA"/>
    <w:rsid w:val="00A82AB6"/>
    <w:rsid w:val="00A84D7E"/>
    <w:rsid w:val="00A87202"/>
    <w:rsid w:val="00A93AB4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0FEB"/>
    <w:rsid w:val="00B041E0"/>
    <w:rsid w:val="00B0457D"/>
    <w:rsid w:val="00B06816"/>
    <w:rsid w:val="00B075AF"/>
    <w:rsid w:val="00B112B5"/>
    <w:rsid w:val="00B1559A"/>
    <w:rsid w:val="00B25C9C"/>
    <w:rsid w:val="00B25F75"/>
    <w:rsid w:val="00B27DD2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A6F6F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2BFB"/>
    <w:rsid w:val="00C1579D"/>
    <w:rsid w:val="00C27ABB"/>
    <w:rsid w:val="00C3265B"/>
    <w:rsid w:val="00C345B7"/>
    <w:rsid w:val="00C34B7C"/>
    <w:rsid w:val="00C4168F"/>
    <w:rsid w:val="00C43A29"/>
    <w:rsid w:val="00C6023B"/>
    <w:rsid w:val="00C60D5F"/>
    <w:rsid w:val="00C660D2"/>
    <w:rsid w:val="00C705EE"/>
    <w:rsid w:val="00C737E5"/>
    <w:rsid w:val="00C75A8A"/>
    <w:rsid w:val="00C76D6A"/>
    <w:rsid w:val="00C85BFF"/>
    <w:rsid w:val="00CA5296"/>
    <w:rsid w:val="00CB6826"/>
    <w:rsid w:val="00CD118D"/>
    <w:rsid w:val="00CD26E9"/>
    <w:rsid w:val="00CE00FB"/>
    <w:rsid w:val="00CE11F0"/>
    <w:rsid w:val="00CE4BF3"/>
    <w:rsid w:val="00CE614B"/>
    <w:rsid w:val="00CE64C9"/>
    <w:rsid w:val="00CE6CC5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57912"/>
    <w:rsid w:val="00D66D2F"/>
    <w:rsid w:val="00D73D63"/>
    <w:rsid w:val="00D7482A"/>
    <w:rsid w:val="00D757E9"/>
    <w:rsid w:val="00D80BE1"/>
    <w:rsid w:val="00D854E8"/>
    <w:rsid w:val="00D94DEC"/>
    <w:rsid w:val="00D95485"/>
    <w:rsid w:val="00D975A5"/>
    <w:rsid w:val="00DA2ACC"/>
    <w:rsid w:val="00DA357A"/>
    <w:rsid w:val="00DC68E9"/>
    <w:rsid w:val="00DD1BB2"/>
    <w:rsid w:val="00DD23CD"/>
    <w:rsid w:val="00DD323C"/>
    <w:rsid w:val="00DD3641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DF5CD7"/>
    <w:rsid w:val="00E04D95"/>
    <w:rsid w:val="00E04F08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0D2E"/>
    <w:rsid w:val="00E84770"/>
    <w:rsid w:val="00E91376"/>
    <w:rsid w:val="00E96B5F"/>
    <w:rsid w:val="00E97772"/>
    <w:rsid w:val="00EA4FA3"/>
    <w:rsid w:val="00EA637B"/>
    <w:rsid w:val="00EC2764"/>
    <w:rsid w:val="00EC7DD1"/>
    <w:rsid w:val="00ED110D"/>
    <w:rsid w:val="00ED4E1B"/>
    <w:rsid w:val="00EE05B4"/>
    <w:rsid w:val="00EE176F"/>
    <w:rsid w:val="00EF165F"/>
    <w:rsid w:val="00EF4FCC"/>
    <w:rsid w:val="00F02502"/>
    <w:rsid w:val="00F1695D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2B0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859"/>
    <w:pPr>
      <w:keepNext/>
      <w:keepLines/>
      <w:numPr>
        <w:numId w:val="25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qFormat/>
    <w:rsid w:val="00777859"/>
    <w:pPr>
      <w:numPr>
        <w:ilvl w:val="1"/>
        <w:numId w:val="25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777859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7859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rsid w:val="00777859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7859"/>
    <w:rPr>
      <w:rFonts w:ascii="Arial" w:hAnsi="Arial"/>
      <w:b/>
      <w:bCs/>
      <w:color w:val="00407A"/>
      <w:sz w:val="22"/>
      <w:szCs w:val="22"/>
    </w:rPr>
  </w:style>
  <w:style w:type="paragraph" w:styleId="BodyText2">
    <w:name w:val="Body Text 2"/>
    <w:basedOn w:val="Normal"/>
    <w:link w:val="BodyText2Char"/>
    <w:rsid w:val="00516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6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859"/>
    <w:pPr>
      <w:keepNext/>
      <w:keepLines/>
      <w:numPr>
        <w:numId w:val="25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qFormat/>
    <w:rsid w:val="00777859"/>
    <w:pPr>
      <w:numPr>
        <w:ilvl w:val="1"/>
        <w:numId w:val="25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777859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7859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rsid w:val="00777859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7859"/>
    <w:rPr>
      <w:rFonts w:ascii="Arial" w:hAnsi="Arial"/>
      <w:b/>
      <w:bCs/>
      <w:color w:val="00407A"/>
      <w:sz w:val="22"/>
      <w:szCs w:val="22"/>
    </w:rPr>
  </w:style>
  <w:style w:type="paragraph" w:styleId="BodyText2">
    <w:name w:val="Body Text 2"/>
    <w:basedOn w:val="Normal"/>
    <w:link w:val="BodyText2Char"/>
    <w:rsid w:val="00516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6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1CF2D-6412-4DE8-A1D6-F1F3920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2018-09-06T16:49:00Z</dcterms:created>
  <dcterms:modified xsi:type="dcterms:W3CDTF">2018-09-06T16:53:00Z</dcterms:modified>
</cp:coreProperties>
</file>