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9B" w:rsidRDefault="00E32D51" w:rsidP="0086547D">
      <w:pPr>
        <w:pStyle w:val="Heading2"/>
        <w:tabs>
          <w:tab w:val="left" w:pos="4110"/>
        </w:tabs>
        <w:rPr>
          <w:bCs/>
          <w:sz w:val="36"/>
          <w:szCs w:val="36"/>
        </w:rPr>
      </w:pPr>
      <w:r w:rsidRPr="00C15497">
        <w:rPr>
          <w:bCs/>
          <w:sz w:val="36"/>
          <w:szCs w:val="36"/>
        </w:rPr>
        <w:t>AESO Consultation –20</w:t>
      </w:r>
      <w:r w:rsidR="00985329">
        <w:rPr>
          <w:bCs/>
          <w:sz w:val="36"/>
          <w:szCs w:val="36"/>
        </w:rPr>
        <w:t xml:space="preserve">20 </w:t>
      </w:r>
      <w:r w:rsidRPr="00C15497">
        <w:rPr>
          <w:bCs/>
          <w:sz w:val="36"/>
          <w:szCs w:val="36"/>
        </w:rPr>
        <w:t>Budget Review Process (20</w:t>
      </w:r>
      <w:r w:rsidR="00985329">
        <w:rPr>
          <w:bCs/>
          <w:sz w:val="36"/>
          <w:szCs w:val="36"/>
        </w:rPr>
        <w:t>20</w:t>
      </w:r>
      <w:r w:rsidR="00BE47A0">
        <w:rPr>
          <w:bCs/>
          <w:sz w:val="36"/>
          <w:szCs w:val="36"/>
        </w:rPr>
        <w:t xml:space="preserve"> BRP) -</w:t>
      </w:r>
      <w:r w:rsidRPr="00C15497">
        <w:rPr>
          <w:bCs/>
          <w:sz w:val="36"/>
          <w:szCs w:val="36"/>
        </w:rPr>
        <w:t xml:space="preserve"> </w:t>
      </w:r>
      <w:r w:rsidR="00A558E5">
        <w:rPr>
          <w:bCs/>
          <w:sz w:val="36"/>
          <w:szCs w:val="36"/>
        </w:rPr>
        <w:t xml:space="preserve">AESO’s 2020 </w:t>
      </w:r>
      <w:r w:rsidR="00B3699B">
        <w:rPr>
          <w:bCs/>
          <w:sz w:val="36"/>
          <w:szCs w:val="36"/>
        </w:rPr>
        <w:t xml:space="preserve">Forecasts (Ancillary Services, Transmission Line </w:t>
      </w:r>
    </w:p>
    <w:p w:rsidR="00E32D51" w:rsidRPr="00C15497" w:rsidRDefault="00B3699B" w:rsidP="0086547D">
      <w:pPr>
        <w:pStyle w:val="Heading2"/>
        <w:tabs>
          <w:tab w:val="left" w:pos="4110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Losses) and Preliminary Own Costs Budget</w:t>
      </w:r>
    </w:p>
    <w:p w:rsidR="007B765A" w:rsidRPr="00C15497" w:rsidRDefault="00B3699B" w:rsidP="0086547D">
      <w:pPr>
        <w:pStyle w:val="Heading2"/>
        <w:tabs>
          <w:tab w:val="left" w:pos="4110"/>
        </w:tabs>
        <w:rPr>
          <w:sz w:val="32"/>
          <w:szCs w:val="32"/>
        </w:rPr>
      </w:pPr>
      <w:r>
        <w:rPr>
          <w:sz w:val="32"/>
          <w:szCs w:val="32"/>
        </w:rPr>
        <w:t>November 29,</w:t>
      </w:r>
      <w:r w:rsidR="00E32D51" w:rsidRPr="00C15497">
        <w:rPr>
          <w:sz w:val="32"/>
          <w:szCs w:val="32"/>
        </w:rPr>
        <w:t xml:space="preserve"> 2019</w:t>
      </w:r>
      <w:r w:rsidR="0086547D" w:rsidRPr="00C15497">
        <w:rPr>
          <w:sz w:val="32"/>
          <w:szCs w:val="32"/>
        </w:rPr>
        <w:tab/>
      </w:r>
    </w:p>
    <w:p w:rsidR="00C15497" w:rsidRPr="00F22D24" w:rsidRDefault="00C15497" w:rsidP="00C15497">
      <w:pPr>
        <w:rPr>
          <w:i/>
          <w:sz w:val="32"/>
          <w:szCs w:val="32"/>
        </w:rPr>
      </w:pPr>
    </w:p>
    <w:p w:rsidR="00B3699B" w:rsidRPr="00B3699B" w:rsidRDefault="00B3699B" w:rsidP="00B3699B">
      <w:pPr>
        <w:keepNext/>
        <w:tabs>
          <w:tab w:val="clear" w:pos="720"/>
        </w:tabs>
        <w:spacing w:line="240" w:lineRule="auto"/>
        <w:jc w:val="left"/>
        <w:rPr>
          <w:rFonts w:cs="Arial"/>
          <w:i/>
          <w:sz w:val="32"/>
          <w:szCs w:val="32"/>
        </w:rPr>
      </w:pPr>
      <w:r w:rsidRPr="00B3699B">
        <w:rPr>
          <w:rFonts w:cs="Arial"/>
          <w:i/>
          <w:sz w:val="32"/>
          <w:szCs w:val="32"/>
        </w:rPr>
        <w:t>The AESO is requesting market participants and interested parties to comm</w:t>
      </w:r>
      <w:bookmarkStart w:id="0" w:name="_GoBack"/>
      <w:bookmarkEnd w:id="0"/>
      <w:r w:rsidRPr="00B3699B">
        <w:rPr>
          <w:rFonts w:cs="Arial"/>
          <w:i/>
          <w:sz w:val="32"/>
          <w:szCs w:val="32"/>
        </w:rPr>
        <w:t>ent on the AESO’s 20</w:t>
      </w:r>
      <w:r w:rsidR="00F22D24">
        <w:rPr>
          <w:rFonts w:cs="Arial"/>
          <w:i/>
          <w:sz w:val="32"/>
          <w:szCs w:val="32"/>
        </w:rPr>
        <w:t>20</w:t>
      </w:r>
      <w:r w:rsidRPr="00B3699B">
        <w:rPr>
          <w:rFonts w:cs="Arial"/>
          <w:i/>
          <w:sz w:val="32"/>
          <w:szCs w:val="32"/>
        </w:rPr>
        <w:t xml:space="preserve"> Forecasts and Preliminary Own Costs Budget. The related information was presented on </w:t>
      </w:r>
      <w:r w:rsidR="00F22D24">
        <w:rPr>
          <w:rFonts w:cs="Arial"/>
          <w:i/>
          <w:sz w:val="32"/>
          <w:szCs w:val="32"/>
        </w:rPr>
        <w:t>November 29, 2019</w:t>
      </w:r>
      <w:r w:rsidRPr="00B3699B">
        <w:rPr>
          <w:rFonts w:cs="Arial"/>
          <w:i/>
          <w:sz w:val="32"/>
          <w:szCs w:val="32"/>
        </w:rPr>
        <w:t xml:space="preserve"> at the BRP technical meeting in Calgary. Comments are to be provided in the following matrix and returned to </w:t>
      </w:r>
      <w:hyperlink r:id="rId10" w:history="1">
        <w:r w:rsidRPr="00F22D24">
          <w:rPr>
            <w:rFonts w:cs="Arial"/>
            <w:i/>
            <w:color w:val="0000FF"/>
            <w:sz w:val="32"/>
            <w:szCs w:val="32"/>
            <w:u w:val="single"/>
          </w:rPr>
          <w:t>karen.campbell@aeso.ca</w:t>
        </w:r>
      </w:hyperlink>
      <w:r w:rsidRPr="00B3699B">
        <w:rPr>
          <w:rFonts w:cs="Arial"/>
          <w:i/>
          <w:sz w:val="32"/>
          <w:szCs w:val="32"/>
        </w:rPr>
        <w:t xml:space="preserve"> on or before </w:t>
      </w:r>
      <w:r w:rsidR="00F22D24">
        <w:rPr>
          <w:rFonts w:cs="Arial"/>
          <w:i/>
          <w:sz w:val="32"/>
          <w:szCs w:val="32"/>
        </w:rPr>
        <w:t>December 15, 2019</w:t>
      </w:r>
      <w:r w:rsidRPr="00B3699B">
        <w:rPr>
          <w:rFonts w:cs="Arial"/>
          <w:i/>
          <w:sz w:val="32"/>
          <w:szCs w:val="32"/>
        </w:rPr>
        <w:t>.</w:t>
      </w:r>
    </w:p>
    <w:p w:rsidR="00C15497" w:rsidRPr="00C15497" w:rsidRDefault="00C15497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</w:p>
    <w:tbl>
      <w:tblPr>
        <w:tblW w:w="2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9810"/>
      </w:tblGrid>
      <w:tr w:rsidR="00E32D51" w:rsidRPr="00E32D51" w:rsidTr="00E32D51">
        <w:trPr>
          <w:trHeight w:val="1869"/>
        </w:trPr>
        <w:tc>
          <w:tcPr>
            <w:tcW w:w="10775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10252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3"/>
              <w:gridCol w:w="1125"/>
              <w:gridCol w:w="1607"/>
              <w:gridCol w:w="620"/>
              <w:gridCol w:w="1045"/>
              <w:gridCol w:w="440"/>
              <w:gridCol w:w="2599"/>
              <w:gridCol w:w="43"/>
            </w:tblGrid>
            <w:tr w:rsidR="00E32D51" w:rsidRPr="00E32D51" w:rsidTr="00E32D51">
              <w:trPr>
                <w:trHeight w:val="368"/>
              </w:trPr>
              <w:tc>
                <w:tcPr>
                  <w:tcW w:w="55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of Request for Comment:</w:t>
                  </w:r>
                </w:p>
              </w:tc>
              <w:tc>
                <w:tcPr>
                  <w:tcW w:w="474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A558E5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B3699B">
                    <w:rPr>
                      <w:rFonts w:cs="Arial"/>
                      <w:sz w:val="24"/>
                    </w:rPr>
                    <w:t>12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B3699B">
                    <w:rPr>
                      <w:rFonts w:cs="Arial"/>
                      <w:sz w:val="24"/>
                    </w:rPr>
                    <w:t>02</w:t>
                  </w:r>
                </w:p>
              </w:tc>
            </w:tr>
            <w:tr w:rsidR="00E32D51" w:rsidRPr="00E32D51" w:rsidTr="00E32D51">
              <w:trPr>
                <w:gridAfter w:val="1"/>
                <w:wAfter w:w="43" w:type="dxa"/>
                <w:trHeight w:val="358"/>
              </w:trPr>
              <w:tc>
                <w:tcPr>
                  <w:tcW w:w="3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Period of Consultation:</w:t>
                  </w:r>
                </w:p>
              </w:tc>
              <w:tc>
                <w:tcPr>
                  <w:tcW w:w="2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B3699B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</w:t>
                  </w:r>
                  <w:r w:rsidR="00B3699B">
                    <w:rPr>
                      <w:rFonts w:cs="Arial"/>
                      <w:sz w:val="24"/>
                    </w:rPr>
                    <w:t>1-29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through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B3699B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B3699B">
                    <w:rPr>
                      <w:rFonts w:cs="Arial"/>
                      <w:sz w:val="24"/>
                    </w:rPr>
                    <w:t>12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</w:t>
                  </w:r>
                  <w:r w:rsidR="00B3699B">
                    <w:rPr>
                      <w:rFonts w:cs="Arial"/>
                      <w:sz w:val="24"/>
                    </w:rPr>
                    <w:t>5</w:t>
                  </w:r>
                </w:p>
              </w:tc>
            </w:tr>
            <w:tr w:rsidR="00E32D51" w:rsidRPr="00E32D51" w:rsidTr="00E32D51">
              <w:trPr>
                <w:trHeight w:val="355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Comments From:</w:t>
                  </w:r>
                </w:p>
              </w:tc>
              <w:tc>
                <w:tcPr>
                  <w:tcW w:w="747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Company Name</w:t>
                  </w:r>
                </w:p>
              </w:tc>
            </w:tr>
            <w:tr w:rsidR="00E32D51" w:rsidRPr="00E32D51" w:rsidTr="00E32D51">
              <w:trPr>
                <w:gridAfter w:val="3"/>
                <w:wAfter w:w="3082" w:type="dxa"/>
                <w:trHeight w:val="560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[yyyy/mm/dd]:</w:t>
                  </w:r>
                </w:p>
              </w:tc>
              <w:tc>
                <w:tcPr>
                  <w:tcW w:w="43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rPr>
                <w:rFonts w:cs="Arial"/>
                <w:sz w:val="24"/>
              </w:rPr>
            </w:pPr>
          </w:p>
        </w:tc>
        <w:tc>
          <w:tcPr>
            <w:tcW w:w="9810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20603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0"/>
              <w:gridCol w:w="17633"/>
            </w:tblGrid>
            <w:tr w:rsidR="00E32D51" w:rsidRPr="00E32D51" w:rsidTr="00E32D51">
              <w:trPr>
                <w:trHeight w:val="733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Contact:</w:t>
                  </w:r>
                </w:p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(print name &amp; title)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1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Phone: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3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Email: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ind w:left="-540"/>
              <w:rPr>
                <w:rFonts w:cs="Arial"/>
                <w:sz w:val="24"/>
              </w:rPr>
            </w:pPr>
            <w:r w:rsidRPr="00E32D51">
              <w:rPr>
                <w:rFonts w:cs="Arial"/>
                <w:sz w:val="24"/>
              </w:rPr>
              <w:tab/>
            </w:r>
          </w:p>
        </w:tc>
      </w:tr>
    </w:tbl>
    <w:p w:rsidR="00F22D24" w:rsidRPr="00E32D51" w:rsidRDefault="00F22D24" w:rsidP="00E32D51">
      <w:pPr>
        <w:keepNext/>
        <w:rPr>
          <w:rFonts w:cs="Arial"/>
          <w:sz w:val="24"/>
        </w:rPr>
      </w:pP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3"/>
      </w:tblGrid>
      <w:tr w:rsidR="00E32D51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F22D24" w:rsidP="00A558E5">
            <w:pPr>
              <w:keepNext/>
              <w:tabs>
                <w:tab w:val="clear" w:pos="720"/>
              </w:tabs>
              <w:spacing w:before="0" w:after="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 w:rsidRPr="00F22D24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Pool Price Fo</w:t>
            </w:r>
            <w:r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recast and Load Outlook for 2020</w:t>
            </w:r>
          </w:p>
        </w:tc>
      </w:tr>
      <w:tr w:rsidR="00F22D24" w:rsidRPr="00E32D51" w:rsidTr="00DA2ADC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24" w:rsidRPr="00F22D24" w:rsidRDefault="00F22D24">
            <w:pPr>
              <w:rPr>
                <w:b/>
                <w:sz w:val="28"/>
                <w:szCs w:val="28"/>
              </w:rPr>
            </w:pPr>
            <w:r w:rsidRPr="00F22D24">
              <w:rPr>
                <w:b/>
                <w:sz w:val="28"/>
                <w:szCs w:val="28"/>
              </w:rPr>
              <w:t>Do stakeholders have any comments on the Pool Price forecast and Load outlook for the upcoming year?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Pr="00E32D51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:rsidR="00F22D24" w:rsidRDefault="00F22D24"/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3"/>
      </w:tblGrid>
      <w:tr w:rsidR="00F22D24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F22D24" w:rsidRPr="00F22D24" w:rsidRDefault="00F22D24" w:rsidP="00784AA3">
            <w:pPr>
              <w:pStyle w:val="BodyText"/>
              <w:keepNext/>
              <w:spacing w:after="0"/>
              <w:jc w:val="center"/>
              <w:rPr>
                <w:b/>
                <w:color w:val="FFFFFF"/>
                <w:sz w:val="28"/>
                <w:szCs w:val="28"/>
                <w:lang w:val="en-CA"/>
              </w:rPr>
            </w:pPr>
            <w:r w:rsidRPr="00F22D24">
              <w:rPr>
                <w:b/>
                <w:color w:val="FFFFFF"/>
                <w:sz w:val="28"/>
                <w:szCs w:val="28"/>
                <w:lang w:val="en-CA"/>
              </w:rPr>
              <w:lastRenderedPageBreak/>
              <w:t>AESO Wires, Ancillary Services and Transmission Line Losses Costs Forecasts for 20</w:t>
            </w:r>
            <w:r>
              <w:rPr>
                <w:b/>
                <w:color w:val="FFFFFF"/>
                <w:sz w:val="28"/>
                <w:szCs w:val="28"/>
                <w:lang w:val="en-CA"/>
              </w:rPr>
              <w:t>20</w:t>
            </w:r>
          </w:p>
        </w:tc>
      </w:tr>
      <w:tr w:rsidR="00F22D24" w:rsidRPr="00E32D51" w:rsidTr="006F3074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24" w:rsidRPr="00F22D24" w:rsidRDefault="00F22D24" w:rsidP="00F22D24">
            <w:pPr>
              <w:pStyle w:val="BodyText"/>
              <w:keepNext/>
              <w:spacing w:before="200"/>
              <w:rPr>
                <w:b/>
                <w:sz w:val="28"/>
                <w:szCs w:val="28"/>
              </w:rPr>
            </w:pPr>
            <w:r w:rsidRPr="00F22D24">
              <w:rPr>
                <w:b/>
                <w:sz w:val="28"/>
                <w:szCs w:val="28"/>
              </w:rPr>
              <w:t>Do stakeholders have any comments on the Wires, Ancillary Services and/or Transmission Line Losses costs forecasts for the upcoming year?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F22D24" w:rsidRDefault="00F22D24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:rsidR="00E741E2" w:rsidRDefault="00E741E2" w:rsidP="00190635">
      <w:pPr>
        <w:pStyle w:val="BodyText"/>
      </w:pPr>
    </w:p>
    <w:p w:rsidR="00B16AE1" w:rsidRDefault="00B16AE1" w:rsidP="00190635">
      <w:pPr>
        <w:pStyle w:val="BodyText"/>
      </w:pPr>
    </w:p>
    <w:tbl>
      <w:tblPr>
        <w:tblW w:w="207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0"/>
      </w:tblGrid>
      <w:tr w:rsidR="00B16AE1" w:rsidRPr="00B16AE1" w:rsidTr="00784AA3">
        <w:tc>
          <w:tcPr>
            <w:tcW w:w="20700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B16AE1" w:rsidRPr="00B16AE1" w:rsidRDefault="00B16AE1" w:rsidP="00BE47A0">
            <w:pPr>
              <w:keepNext/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 w:rsidRPr="00B16AE1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AESO Own Costs Budget  for 2</w:t>
            </w:r>
            <w:r w:rsidR="00784AA3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020</w:t>
            </w:r>
          </w:p>
        </w:tc>
      </w:tr>
      <w:tr w:rsidR="00B16AE1" w:rsidRPr="00B16AE1" w:rsidTr="00784AA3">
        <w:trPr>
          <w:trHeight w:val="298"/>
        </w:trPr>
        <w:tc>
          <w:tcPr>
            <w:tcW w:w="207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200" w:after="200" w:line="240" w:lineRule="auto"/>
              <w:jc w:val="left"/>
              <w:rPr>
                <w:rFonts w:cs="Arial"/>
                <w:b/>
                <w:sz w:val="28"/>
                <w:szCs w:val="28"/>
              </w:rPr>
            </w:pPr>
            <w:r w:rsidRPr="00B16AE1">
              <w:rPr>
                <w:rFonts w:cs="Arial"/>
                <w:b/>
                <w:sz w:val="28"/>
                <w:szCs w:val="28"/>
              </w:rPr>
              <w:t>Do stakeholders have any comments on the 20</w:t>
            </w:r>
            <w:r>
              <w:rPr>
                <w:rFonts w:cs="Arial"/>
                <w:b/>
                <w:sz w:val="28"/>
                <w:szCs w:val="28"/>
              </w:rPr>
              <w:t>20</w:t>
            </w:r>
            <w:r w:rsidRPr="00B16AE1">
              <w:rPr>
                <w:rFonts w:cs="Arial"/>
                <w:b/>
                <w:sz w:val="28"/>
                <w:szCs w:val="28"/>
              </w:rPr>
              <w:t xml:space="preserve"> Preliminary General and Administrative Budget information presented? </w:t>
            </w:r>
          </w:p>
        </w:tc>
      </w:tr>
      <w:tr w:rsidR="00B16AE1" w:rsidRPr="00B16AE1" w:rsidTr="00784AA3">
        <w:trPr>
          <w:trHeight w:val="298"/>
        </w:trPr>
        <w:tc>
          <w:tcPr>
            <w:tcW w:w="20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 w:val="24"/>
              </w:rPr>
            </w:pPr>
          </w:p>
          <w:p w:rsid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B16AE1" w:rsidRPr="00B16AE1" w:rsidTr="00784AA3">
        <w:trPr>
          <w:trHeight w:val="298"/>
        </w:trPr>
        <w:tc>
          <w:tcPr>
            <w:tcW w:w="20700" w:type="dxa"/>
            <w:shd w:val="clear" w:color="auto" w:fill="F2F2F2"/>
            <w:vAlign w:val="center"/>
          </w:tcPr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200" w:after="200" w:line="240" w:lineRule="auto"/>
              <w:jc w:val="left"/>
              <w:rPr>
                <w:rFonts w:cs="Arial"/>
                <w:b/>
                <w:sz w:val="28"/>
                <w:szCs w:val="28"/>
              </w:rPr>
            </w:pPr>
            <w:r w:rsidRPr="00B16AE1">
              <w:rPr>
                <w:rFonts w:cs="Arial"/>
                <w:b/>
                <w:sz w:val="28"/>
                <w:szCs w:val="28"/>
              </w:rPr>
              <w:t>Do stakeholders have any comments on the 20</w:t>
            </w:r>
            <w:r>
              <w:rPr>
                <w:rFonts w:cs="Arial"/>
                <w:b/>
                <w:sz w:val="28"/>
                <w:szCs w:val="28"/>
              </w:rPr>
              <w:t>20</w:t>
            </w:r>
            <w:r w:rsidRPr="00B16AE1">
              <w:rPr>
                <w:rFonts w:cs="Arial"/>
                <w:b/>
                <w:sz w:val="28"/>
                <w:szCs w:val="28"/>
              </w:rPr>
              <w:t xml:space="preserve"> Preliminary Capital Budget information presented?</w:t>
            </w:r>
          </w:p>
        </w:tc>
      </w:tr>
      <w:tr w:rsidR="00B16AE1" w:rsidRPr="00B16AE1" w:rsidTr="00784AA3">
        <w:trPr>
          <w:trHeight w:val="298"/>
        </w:trPr>
        <w:tc>
          <w:tcPr>
            <w:tcW w:w="20700" w:type="dxa"/>
            <w:shd w:val="clear" w:color="auto" w:fill="auto"/>
            <w:vAlign w:val="center"/>
          </w:tcPr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  <w:p w:rsidR="00B16AE1" w:rsidRPr="00B16AE1" w:rsidRDefault="00B16AE1" w:rsidP="00B16AE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b/>
                <w:sz w:val="24"/>
              </w:rPr>
            </w:pPr>
          </w:p>
        </w:tc>
      </w:tr>
    </w:tbl>
    <w:p w:rsidR="00B16AE1" w:rsidRDefault="00B16AE1" w:rsidP="00190635">
      <w:pPr>
        <w:pStyle w:val="BodyText"/>
      </w:pPr>
    </w:p>
    <w:sectPr w:rsidR="00B16AE1" w:rsidSect="00FB4E19">
      <w:headerReference w:type="default" r:id="rId11"/>
      <w:footerReference w:type="default" r:id="rId12"/>
      <w:headerReference w:type="first" r:id="rId13"/>
      <w:footerReference w:type="first" r:id="rId14"/>
      <w:pgSz w:w="24480" w:h="15840" w:orient="landscape"/>
      <w:pgMar w:top="1325" w:right="0" w:bottom="1440" w:left="1296" w:header="36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endnote>
  <w:end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2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10289"/>
      <w:gridCol w:w="1492"/>
      <w:gridCol w:w="10290"/>
    </w:tblGrid>
    <w:tr w:rsidR="00896EC8" w:rsidRPr="0074440B" w:rsidTr="0086547D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1188336941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289" w:type="dxa"/>
              <w:shd w:val="clear" w:color="auto" w:fill="auto"/>
              <w:vAlign w:val="bottom"/>
            </w:tcPr>
            <w:p w:rsidR="00896EC8" w:rsidRPr="00EA167B" w:rsidRDefault="00E526F6" w:rsidP="004E4D80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92" w:type="dxa"/>
          <w:shd w:val="clear" w:color="auto" w:fill="auto"/>
          <w:vAlign w:val="bottom"/>
        </w:tcPr>
        <w:p w:rsidR="00896EC8" w:rsidRPr="00EA167B" w:rsidRDefault="00896EC8" w:rsidP="004E4D80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E47A0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290" w:type="dxa"/>
          <w:shd w:val="clear" w:color="auto" w:fill="auto"/>
          <w:vAlign w:val="bottom"/>
        </w:tcPr>
        <w:p w:rsidR="00896EC8" w:rsidRPr="00E526F6" w:rsidRDefault="00BE47A0" w:rsidP="004E4D80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667838449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331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0440"/>
      <w:gridCol w:w="2340"/>
      <w:gridCol w:w="10530"/>
    </w:tblGrid>
    <w:tr w:rsidR="005B751C" w:rsidRPr="0074440B" w:rsidTr="008B3F0C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2138826695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440" w:type="dxa"/>
              <w:shd w:val="clear" w:color="auto" w:fill="auto"/>
            </w:tcPr>
            <w:p w:rsidR="005B751C" w:rsidRPr="00EA167B" w:rsidRDefault="005B751C" w:rsidP="009C3C34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2340" w:type="dxa"/>
          <w:shd w:val="clear" w:color="auto" w:fill="auto"/>
        </w:tcPr>
        <w:p w:rsidR="005B751C" w:rsidRPr="00EA167B" w:rsidRDefault="005B751C" w:rsidP="009C3C3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E47A0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530" w:type="dxa"/>
          <w:shd w:val="clear" w:color="auto" w:fill="auto"/>
        </w:tcPr>
        <w:p w:rsidR="005B751C" w:rsidRPr="0074440B" w:rsidRDefault="00BE47A0" w:rsidP="009C3C34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908615567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B9664B" w:rsidRPr="0074440B" w:rsidRDefault="003A0FEB" w:rsidP="003A0FEB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49E5B77A" wp14:editId="0CBC8F4D">
          <wp:extent cx="15509174" cy="678381"/>
          <wp:effectExtent l="0" t="0" r="0" b="7620"/>
          <wp:docPr id="11" name="Picture 11" descr="\\aeso.ca\DFS\users\PVERMA\Desktop\Word_Footer_Landscape_Tablo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eso.ca\DFS\users\PVERMA\Desktop\Word_Footer_Landscape_Tablo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671" cy="68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footnote>
  <w:foot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78510516" wp14:editId="573D15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8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980"/>
    </w:tblGrid>
    <w:tr w:rsidR="003A0FEB" w:rsidRPr="003A0FEB" w:rsidTr="00595DE4">
      <w:trPr>
        <w:trHeight w:val="990"/>
      </w:trPr>
      <w:tc>
        <w:tcPr>
          <w:tcW w:w="19980" w:type="dxa"/>
          <w:shd w:val="clear" w:color="auto" w:fill="auto"/>
          <w:vAlign w:val="bottom"/>
        </w:tcPr>
        <w:p w:rsidR="005830EC" w:rsidRPr="00C15497" w:rsidRDefault="00E32D51" w:rsidP="00D153C7">
          <w:pPr>
            <w:pStyle w:val="Title"/>
            <w:tabs>
              <w:tab w:val="clear" w:pos="0"/>
              <w:tab w:val="left" w:pos="-108"/>
            </w:tabs>
            <w:ind w:left="-108"/>
            <w:rPr>
              <w:b/>
              <w:color w:val="1F497D" w:themeColor="text2"/>
              <w:sz w:val="44"/>
              <w:szCs w:val="44"/>
            </w:rPr>
          </w:pPr>
          <w:r w:rsidRPr="00C15497">
            <w:rPr>
              <w:b/>
              <w:color w:val="1F497D" w:themeColor="text2"/>
              <w:sz w:val="44"/>
              <w:szCs w:val="44"/>
            </w:rPr>
            <w:t>Stakeholder Comment and AESO Replies Matrix</w:t>
          </w:r>
        </w:p>
      </w:tc>
    </w:tr>
    <w:tr w:rsidR="003A0FEB" w:rsidRPr="003A0FEB" w:rsidTr="00595DE4">
      <w:trPr>
        <w:trHeight w:val="266"/>
      </w:trPr>
      <w:tc>
        <w:tcPr>
          <w:tcW w:w="19980" w:type="dxa"/>
          <w:shd w:val="clear" w:color="auto" w:fill="auto"/>
          <w:vAlign w:val="bottom"/>
        </w:tcPr>
        <w:p w:rsidR="005830EC" w:rsidRPr="003A0FEB" w:rsidRDefault="007A3C18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  <w:r w:rsidRPr="003A0FEB">
            <w:rPr>
              <w:b/>
              <w:noProof/>
              <w:color w:val="1F497D" w:themeColor="text2"/>
            </w:rPr>
            <w:drawing>
              <wp:anchor distT="0" distB="0" distL="114300" distR="114300" simplePos="0" relativeHeight="251663872" behindDoc="1" locked="1" layoutInCell="0" allowOverlap="1" wp14:anchorId="5D5C86EE" wp14:editId="41B14D0D">
                <wp:simplePos x="0" y="0"/>
                <wp:positionH relativeFrom="page">
                  <wp:posOffset>-11430</wp:posOffset>
                </wp:positionH>
                <wp:positionV relativeFrom="page">
                  <wp:posOffset>-17780</wp:posOffset>
                </wp:positionV>
                <wp:extent cx="15544800" cy="1253490"/>
                <wp:effectExtent l="0" t="0" r="0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Description: 17-inch Bann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0" cy="125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664B" w:rsidRPr="003A0FEB" w:rsidRDefault="00073930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3A0FEB">
      <w:rPr>
        <w:color w:val="1F497D" w:themeColor="text2"/>
        <w:sz w:val="12"/>
        <w:szCs w:val="12"/>
      </w:rPr>
      <w:fldChar w:fldCharType="begin"/>
    </w:r>
    <w:r w:rsidRPr="003A0FEB">
      <w:rPr>
        <w:color w:val="1F497D" w:themeColor="text2"/>
        <w:sz w:val="12"/>
        <w:szCs w:val="12"/>
      </w:rPr>
      <w:instrText xml:space="preserve"> COMMENTS  \* Caps  \* MERGEFORMAT </w:instrText>
    </w:r>
    <w:r w:rsidRPr="003A0FE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17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10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51"/>
    <w:rsid w:val="00003D5B"/>
    <w:rsid w:val="0000797B"/>
    <w:rsid w:val="000112B8"/>
    <w:rsid w:val="000132BF"/>
    <w:rsid w:val="00025139"/>
    <w:rsid w:val="000274DE"/>
    <w:rsid w:val="0003396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D122F"/>
    <w:rsid w:val="000D1B71"/>
    <w:rsid w:val="000D5AE1"/>
    <w:rsid w:val="000E5FF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21DE"/>
    <w:rsid w:val="002072BF"/>
    <w:rsid w:val="00210421"/>
    <w:rsid w:val="00210D3E"/>
    <w:rsid w:val="00211C01"/>
    <w:rsid w:val="00223F4B"/>
    <w:rsid w:val="00231399"/>
    <w:rsid w:val="00234218"/>
    <w:rsid w:val="0023477A"/>
    <w:rsid w:val="002354F2"/>
    <w:rsid w:val="002412FE"/>
    <w:rsid w:val="00244C63"/>
    <w:rsid w:val="0024502E"/>
    <w:rsid w:val="002453D4"/>
    <w:rsid w:val="0025260E"/>
    <w:rsid w:val="00256D1D"/>
    <w:rsid w:val="002600AB"/>
    <w:rsid w:val="00261BE4"/>
    <w:rsid w:val="00264BB8"/>
    <w:rsid w:val="00265BD8"/>
    <w:rsid w:val="002675C3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0CBF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A0623"/>
    <w:rsid w:val="003A0FEB"/>
    <w:rsid w:val="003B2347"/>
    <w:rsid w:val="003D0E4B"/>
    <w:rsid w:val="003D16AD"/>
    <w:rsid w:val="003D216E"/>
    <w:rsid w:val="003D3FF3"/>
    <w:rsid w:val="003E022F"/>
    <w:rsid w:val="004127D2"/>
    <w:rsid w:val="00417952"/>
    <w:rsid w:val="00421C09"/>
    <w:rsid w:val="004232BF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4D8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95DE4"/>
    <w:rsid w:val="005B0CF1"/>
    <w:rsid w:val="005B0D96"/>
    <w:rsid w:val="005B616A"/>
    <w:rsid w:val="005B751C"/>
    <w:rsid w:val="005C010C"/>
    <w:rsid w:val="005C2E2D"/>
    <w:rsid w:val="005C3166"/>
    <w:rsid w:val="005D0A37"/>
    <w:rsid w:val="005E3E51"/>
    <w:rsid w:val="005E7068"/>
    <w:rsid w:val="00605798"/>
    <w:rsid w:val="00605DC6"/>
    <w:rsid w:val="0061550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5E0B"/>
    <w:rsid w:val="006D6EA6"/>
    <w:rsid w:val="006E084E"/>
    <w:rsid w:val="006E1AB5"/>
    <w:rsid w:val="006E4DED"/>
    <w:rsid w:val="006F3074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4AA3"/>
    <w:rsid w:val="00786479"/>
    <w:rsid w:val="00786563"/>
    <w:rsid w:val="00786FD4"/>
    <w:rsid w:val="007A3C18"/>
    <w:rsid w:val="007A5FA5"/>
    <w:rsid w:val="007B114C"/>
    <w:rsid w:val="007B49CB"/>
    <w:rsid w:val="007B69C0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E48"/>
    <w:rsid w:val="008304B4"/>
    <w:rsid w:val="0083411F"/>
    <w:rsid w:val="008344A2"/>
    <w:rsid w:val="00840F93"/>
    <w:rsid w:val="0085319D"/>
    <w:rsid w:val="00863E87"/>
    <w:rsid w:val="0086547D"/>
    <w:rsid w:val="00867BF2"/>
    <w:rsid w:val="00872A30"/>
    <w:rsid w:val="00875B84"/>
    <w:rsid w:val="00886016"/>
    <w:rsid w:val="00891F3C"/>
    <w:rsid w:val="00893130"/>
    <w:rsid w:val="00896EC8"/>
    <w:rsid w:val="008A5DEE"/>
    <w:rsid w:val="008B06B6"/>
    <w:rsid w:val="008B3F0C"/>
    <w:rsid w:val="008B5705"/>
    <w:rsid w:val="008C140B"/>
    <w:rsid w:val="008C7F6B"/>
    <w:rsid w:val="008D5C35"/>
    <w:rsid w:val="008E4380"/>
    <w:rsid w:val="008E5C57"/>
    <w:rsid w:val="008E7690"/>
    <w:rsid w:val="008F4E06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252"/>
    <w:rsid w:val="00975336"/>
    <w:rsid w:val="00975811"/>
    <w:rsid w:val="00983B4D"/>
    <w:rsid w:val="00985329"/>
    <w:rsid w:val="0099178D"/>
    <w:rsid w:val="009B7EC6"/>
    <w:rsid w:val="009C3C34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3BF"/>
    <w:rsid w:val="00A4394E"/>
    <w:rsid w:val="00A524EB"/>
    <w:rsid w:val="00A55862"/>
    <w:rsid w:val="00A558E5"/>
    <w:rsid w:val="00A65EEB"/>
    <w:rsid w:val="00A84765"/>
    <w:rsid w:val="00AB1825"/>
    <w:rsid w:val="00AB3D95"/>
    <w:rsid w:val="00AD2A7C"/>
    <w:rsid w:val="00AE17F3"/>
    <w:rsid w:val="00AE3BBE"/>
    <w:rsid w:val="00AE73DA"/>
    <w:rsid w:val="00AF0B44"/>
    <w:rsid w:val="00B00A95"/>
    <w:rsid w:val="00B13026"/>
    <w:rsid w:val="00B16AE1"/>
    <w:rsid w:val="00B21F06"/>
    <w:rsid w:val="00B23617"/>
    <w:rsid w:val="00B30D5B"/>
    <w:rsid w:val="00B31B55"/>
    <w:rsid w:val="00B33490"/>
    <w:rsid w:val="00B3699B"/>
    <w:rsid w:val="00B44713"/>
    <w:rsid w:val="00B50261"/>
    <w:rsid w:val="00B5331E"/>
    <w:rsid w:val="00B65A45"/>
    <w:rsid w:val="00B71D15"/>
    <w:rsid w:val="00B87CEA"/>
    <w:rsid w:val="00B91B7F"/>
    <w:rsid w:val="00B931F5"/>
    <w:rsid w:val="00B9664B"/>
    <w:rsid w:val="00B978F4"/>
    <w:rsid w:val="00BA3789"/>
    <w:rsid w:val="00BA56C9"/>
    <w:rsid w:val="00BD0A93"/>
    <w:rsid w:val="00BD1EA6"/>
    <w:rsid w:val="00BD3871"/>
    <w:rsid w:val="00BE0F74"/>
    <w:rsid w:val="00BE293D"/>
    <w:rsid w:val="00BE38D4"/>
    <w:rsid w:val="00BE47A0"/>
    <w:rsid w:val="00C03108"/>
    <w:rsid w:val="00C053D2"/>
    <w:rsid w:val="00C14C0B"/>
    <w:rsid w:val="00C15497"/>
    <w:rsid w:val="00C2477B"/>
    <w:rsid w:val="00C43FFE"/>
    <w:rsid w:val="00C441E5"/>
    <w:rsid w:val="00C565A3"/>
    <w:rsid w:val="00C67BB0"/>
    <w:rsid w:val="00C83BBA"/>
    <w:rsid w:val="00C8636B"/>
    <w:rsid w:val="00C950CD"/>
    <w:rsid w:val="00C95D75"/>
    <w:rsid w:val="00CB1171"/>
    <w:rsid w:val="00CB7C7D"/>
    <w:rsid w:val="00CC02B5"/>
    <w:rsid w:val="00CF5217"/>
    <w:rsid w:val="00CF616B"/>
    <w:rsid w:val="00D02C6B"/>
    <w:rsid w:val="00D153C7"/>
    <w:rsid w:val="00D16B21"/>
    <w:rsid w:val="00D24C28"/>
    <w:rsid w:val="00D262B8"/>
    <w:rsid w:val="00D31C53"/>
    <w:rsid w:val="00D40ACB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C4D3A"/>
    <w:rsid w:val="00DE5955"/>
    <w:rsid w:val="00E03542"/>
    <w:rsid w:val="00E23B14"/>
    <w:rsid w:val="00E32D51"/>
    <w:rsid w:val="00E3444C"/>
    <w:rsid w:val="00E51105"/>
    <w:rsid w:val="00E526F6"/>
    <w:rsid w:val="00E52929"/>
    <w:rsid w:val="00E543A2"/>
    <w:rsid w:val="00E56A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F00766"/>
    <w:rsid w:val="00F071CA"/>
    <w:rsid w:val="00F110C9"/>
    <w:rsid w:val="00F146B2"/>
    <w:rsid w:val="00F1535E"/>
    <w:rsid w:val="00F22D24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B4E19"/>
    <w:rsid w:val="00FC5414"/>
    <w:rsid w:val="00FC639C"/>
    <w:rsid w:val="00FD3425"/>
    <w:rsid w:val="00FE0F25"/>
    <w:rsid w:val="00FE56A0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uiPriority="0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uiPriority="0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karen.campbell@aeso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Landscape%20Tablo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814F3103-EB1F-495A-B93A-300617AA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Tabloid.dotx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Mazuryk</dc:creator>
  <cp:lastModifiedBy>AESO</cp:lastModifiedBy>
  <cp:revision>2</cp:revision>
  <cp:lastPrinted>2011-07-28T21:30:00Z</cp:lastPrinted>
  <dcterms:created xsi:type="dcterms:W3CDTF">2019-12-02T15:49:00Z</dcterms:created>
  <dcterms:modified xsi:type="dcterms:W3CDTF">2019-12-02T15:49:00Z</dcterms:modified>
</cp:coreProperties>
</file>