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98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9603"/>
      </w:tblGrid>
      <w:tr w:rsidR="00AA6804" w:rsidRPr="00BC502D" w:rsidTr="00E9189C">
        <w:trPr>
          <w:trHeight w:val="169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2345"/>
              <w:gridCol w:w="1710"/>
              <w:gridCol w:w="2664"/>
            </w:tblGrid>
            <w:tr w:rsidR="00AA6804" w:rsidRPr="0061591A" w:rsidTr="00AA6804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AA6804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4B091D" w:rsidP="00AA680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September 7, 2018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AA6804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4B091D" w:rsidP="00AA680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September 28, 2018</w:t>
                  </w:r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dd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7C75B2" w:rsidRDefault="00AA6804" w:rsidP="00E9189C">
            <w:pPr>
              <w:keepNext/>
              <w:spacing w:before="120" w:after="120"/>
              <w:ind w:left="86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603" w:type="dxa"/>
            <w:tcBorders>
              <w:lef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067"/>
              <w:gridCol w:w="8113"/>
            </w:tblGrid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bookmarkStart w:id="1" w:name="Text7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Contact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61591A" w:rsidRDefault="00AA6804" w:rsidP="00E9189C">
            <w:pPr>
              <w:keepNext/>
              <w:spacing w:before="120" w:after="120"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106" w:rsidRPr="001B78E4" w:rsidRDefault="00CF3106" w:rsidP="00CF3106">
      <w:pPr>
        <w:keepNext/>
        <w:rPr>
          <w:rFonts w:ascii="Arial" w:hAnsi="Arial" w:cs="Arial"/>
          <w:b/>
          <w:i/>
          <w:sz w:val="20"/>
          <w:szCs w:val="20"/>
        </w:rPr>
      </w:pPr>
    </w:p>
    <w:p w:rsidR="00110799" w:rsidRDefault="001B78E4" w:rsidP="00CA30E6">
      <w:pPr>
        <w:keepNext/>
        <w:ind w:left="-720"/>
        <w:rPr>
          <w:rFonts w:ascii="Arial" w:hAnsi="Arial" w:cs="Arial"/>
          <w:b/>
          <w:i/>
          <w:szCs w:val="20"/>
          <w:u w:val="single"/>
        </w:rPr>
      </w:pPr>
      <w:r w:rsidRPr="001B78E4">
        <w:rPr>
          <w:rFonts w:ascii="Arial" w:hAnsi="Arial" w:cs="Arial"/>
          <w:b/>
          <w:i/>
          <w:szCs w:val="20"/>
        </w:rPr>
        <w:t>Please provide comments relating to the subsection of the</w:t>
      </w:r>
      <w:r w:rsidR="00F447EC">
        <w:rPr>
          <w:rFonts w:ascii="Arial" w:hAnsi="Arial" w:cs="Arial"/>
          <w:b/>
          <w:i/>
          <w:szCs w:val="20"/>
        </w:rPr>
        <w:t xml:space="preserve"> proposed</w:t>
      </w:r>
      <w:r w:rsidRPr="001B78E4">
        <w:rPr>
          <w:rFonts w:ascii="Arial" w:hAnsi="Arial" w:cs="Arial"/>
          <w:b/>
          <w:i/>
          <w:szCs w:val="20"/>
        </w:rPr>
        <w:t xml:space="preserve"> rule in the corresponding box.</w:t>
      </w:r>
      <w:r w:rsidR="00364862">
        <w:rPr>
          <w:rFonts w:ascii="Arial" w:hAnsi="Arial" w:cs="Arial"/>
          <w:b/>
          <w:i/>
          <w:szCs w:val="20"/>
        </w:rPr>
        <w:t xml:space="preserve"> Please include any views on</w:t>
      </w:r>
      <w:r w:rsidR="00364862" w:rsidRPr="00364862">
        <w:t xml:space="preserve"> </w:t>
      </w:r>
      <w:r w:rsidR="00364862">
        <w:rPr>
          <w:rFonts w:ascii="Arial" w:hAnsi="Arial" w:cs="Arial"/>
          <w:b/>
          <w:i/>
          <w:szCs w:val="20"/>
        </w:rPr>
        <w:t>whether</w:t>
      </w:r>
      <w:r w:rsidR="00364862" w:rsidRPr="00364862">
        <w:rPr>
          <w:rFonts w:ascii="Arial" w:hAnsi="Arial" w:cs="Arial"/>
          <w:b/>
          <w:i/>
          <w:szCs w:val="20"/>
        </w:rPr>
        <w:t xml:space="preserve"> the language clearly articulate</w:t>
      </w:r>
      <w:r w:rsidR="00364862">
        <w:rPr>
          <w:rFonts w:ascii="Arial" w:hAnsi="Arial" w:cs="Arial"/>
          <w:b/>
          <w:i/>
          <w:szCs w:val="20"/>
        </w:rPr>
        <w:t>s</w:t>
      </w:r>
      <w:r w:rsidR="00364862" w:rsidRPr="00364862">
        <w:rPr>
          <w:rFonts w:ascii="Arial" w:hAnsi="Arial" w:cs="Arial"/>
          <w:b/>
          <w:i/>
          <w:szCs w:val="20"/>
        </w:rPr>
        <w:t xml:space="preserve"> the requirement for either the AESO or a market participant</w:t>
      </w:r>
      <w:r w:rsidR="000B547A">
        <w:rPr>
          <w:rFonts w:ascii="Arial" w:hAnsi="Arial" w:cs="Arial"/>
          <w:b/>
          <w:i/>
          <w:szCs w:val="20"/>
        </w:rPr>
        <w:t>,</w:t>
      </w:r>
      <w:r w:rsidR="00364862">
        <w:rPr>
          <w:rFonts w:ascii="Arial" w:hAnsi="Arial" w:cs="Arial"/>
          <w:b/>
          <w:i/>
          <w:szCs w:val="20"/>
        </w:rPr>
        <w:t xml:space="preserve"> </w:t>
      </w:r>
      <w:r w:rsidR="00CA30E6">
        <w:rPr>
          <w:rFonts w:ascii="Arial" w:hAnsi="Arial" w:cs="Arial"/>
          <w:b/>
          <w:i/>
          <w:szCs w:val="20"/>
        </w:rPr>
        <w:t xml:space="preserve">and provide any </w:t>
      </w:r>
      <w:r w:rsidR="00CA30E6">
        <w:rPr>
          <w:rFonts w:ascii="Arial" w:hAnsi="Arial" w:cs="Arial"/>
          <w:b/>
          <w:i/>
          <w:szCs w:val="20"/>
          <w:u w:val="single"/>
        </w:rPr>
        <w:t>proposed alternative wording by blacklining the proposed language below.</w:t>
      </w:r>
    </w:p>
    <w:p w:rsidR="00CA30E6" w:rsidRPr="00BC502D" w:rsidRDefault="00CA30E6" w:rsidP="00CA30E6">
      <w:pPr>
        <w:keepNext/>
        <w:ind w:left="-720"/>
        <w:rPr>
          <w:rFonts w:ascii="Arial" w:hAnsi="Arial" w:cs="Arial"/>
          <w:sz w:val="20"/>
          <w:szCs w:val="20"/>
        </w:rPr>
      </w:pPr>
    </w:p>
    <w:tbl>
      <w:tblPr>
        <w:tblW w:w="19098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20"/>
        <w:gridCol w:w="1420"/>
        <w:gridCol w:w="8279"/>
        <w:gridCol w:w="8279"/>
      </w:tblGrid>
      <w:tr w:rsidR="00623CFF" w:rsidRPr="00472D95" w:rsidTr="00E650D0">
        <w:trPr>
          <w:tblHeader/>
        </w:trPr>
        <w:tc>
          <w:tcPr>
            <w:tcW w:w="1120" w:type="dxa"/>
            <w:shd w:val="clear" w:color="auto" w:fill="365F91" w:themeFill="accent1" w:themeFillShade="BF"/>
          </w:tcPr>
          <w:p w:rsidR="00752820" w:rsidRPr="00472D95" w:rsidRDefault="00752820" w:rsidP="002940E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2D9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752820" w:rsidRPr="00472D95" w:rsidRDefault="00752820" w:rsidP="002940E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2D9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Subsection</w:t>
            </w:r>
          </w:p>
        </w:tc>
        <w:tc>
          <w:tcPr>
            <w:tcW w:w="8279" w:type="dxa"/>
            <w:shd w:val="clear" w:color="auto" w:fill="365F91" w:themeFill="accent1" w:themeFillShade="BF"/>
          </w:tcPr>
          <w:p w:rsidR="00752820" w:rsidRPr="00472D95" w:rsidRDefault="00752820" w:rsidP="002940E4">
            <w:pPr>
              <w:widowControl w:val="0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2D9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Proposed language</w:t>
            </w:r>
          </w:p>
        </w:tc>
        <w:tc>
          <w:tcPr>
            <w:tcW w:w="8279" w:type="dxa"/>
            <w:shd w:val="clear" w:color="auto" w:fill="365F91" w:themeFill="accent1" w:themeFillShade="BF"/>
          </w:tcPr>
          <w:p w:rsidR="00752820" w:rsidRPr="00472D95" w:rsidRDefault="00752820" w:rsidP="002940E4">
            <w:pPr>
              <w:widowControl w:val="0"/>
              <w:spacing w:before="120" w:after="120"/>
              <w:ind w:left="9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2D9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E44055" w:rsidRPr="00472D95" w:rsidTr="00A77CFA">
        <w:tc>
          <w:tcPr>
            <w:tcW w:w="1120" w:type="dxa"/>
            <w:shd w:val="clear" w:color="auto" w:fill="auto"/>
          </w:tcPr>
          <w:p w:rsidR="00E44055" w:rsidRPr="00472D95" w:rsidRDefault="00E44055" w:rsidP="002940E4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E44055" w:rsidRPr="00472D95" w:rsidRDefault="00E44055" w:rsidP="002940E4">
            <w:pPr>
              <w:widowControl w:val="0"/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79" w:type="dxa"/>
          </w:tcPr>
          <w:p w:rsidR="00E44055" w:rsidRPr="00472D95" w:rsidRDefault="004B091D" w:rsidP="002940E4">
            <w:pPr>
              <w:widowControl w:val="0"/>
              <w:spacing w:before="120" w:after="120"/>
              <w:rPr>
                <w:rFonts w:ascii="Arial" w:hAnsi="Arial" w:cs="Arial"/>
                <w:b/>
                <w:color w:val="1F497D"/>
                <w:sz w:val="20"/>
                <w:szCs w:val="20"/>
                <w:lang w:val="en-CA"/>
              </w:rPr>
            </w:pPr>
            <w:r w:rsidRPr="00472D95">
              <w:rPr>
                <w:rFonts w:ascii="Arial" w:hAnsi="Arial" w:cs="Arial"/>
                <w:b/>
                <w:color w:val="1F497D"/>
                <w:sz w:val="20"/>
                <w:szCs w:val="20"/>
                <w:lang w:val="en-CA"/>
              </w:rPr>
              <w:t>Applicability</w:t>
            </w:r>
          </w:p>
        </w:tc>
        <w:tc>
          <w:tcPr>
            <w:tcW w:w="8279" w:type="dxa"/>
            <w:shd w:val="clear" w:color="auto" w:fill="auto"/>
          </w:tcPr>
          <w:p w:rsidR="00E44055" w:rsidRPr="00472D95" w:rsidRDefault="00E44055" w:rsidP="002940E4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CFF" w:rsidRPr="00472D95" w:rsidTr="00A77CFA">
        <w:tc>
          <w:tcPr>
            <w:tcW w:w="1120" w:type="dxa"/>
            <w:shd w:val="clear" w:color="auto" w:fill="auto"/>
          </w:tcPr>
          <w:p w:rsidR="00752820" w:rsidRPr="00472D95" w:rsidRDefault="004B091D" w:rsidP="002940E4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D9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752820" w:rsidRPr="00472D95" w:rsidRDefault="00752820" w:rsidP="002940E4">
            <w:pPr>
              <w:widowControl w:val="0"/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79" w:type="dxa"/>
          </w:tcPr>
          <w:p w:rsidR="005C0551" w:rsidRDefault="005C0551" w:rsidP="002940E4">
            <w:pPr>
              <w:pStyle w:val="FactSheetBody"/>
              <w:widowControl w:val="0"/>
              <w:tabs>
                <w:tab w:val="left" w:pos="540"/>
              </w:tabs>
              <w:spacing w:before="120" w:after="120" w:line="240" w:lineRule="auto"/>
              <w:rPr>
                <w:szCs w:val="20"/>
              </w:rPr>
            </w:pPr>
            <w:r>
              <w:rPr>
                <w:szCs w:val="20"/>
              </w:rPr>
              <w:t xml:space="preserve">Section 206.5 applies to: </w:t>
            </w:r>
          </w:p>
          <w:p w:rsidR="005C0551" w:rsidRDefault="005C0551" w:rsidP="002940E4">
            <w:pPr>
              <w:pStyle w:val="FactSheetBody"/>
              <w:widowControl w:val="0"/>
              <w:tabs>
                <w:tab w:val="left" w:pos="1080"/>
              </w:tabs>
              <w:spacing w:before="120" w:after="120" w:line="240" w:lineRule="auto"/>
              <w:ind w:left="1080" w:hanging="540"/>
              <w:rPr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>(a)</w:t>
            </w:r>
            <w:r>
              <w:rPr>
                <w:szCs w:val="20"/>
                <w:lang w:val="en-CA"/>
              </w:rPr>
              <w:tab/>
              <w:t xml:space="preserve">a </w:t>
            </w:r>
            <w:r>
              <w:rPr>
                <w:b/>
                <w:szCs w:val="20"/>
                <w:lang w:val="en-CA"/>
              </w:rPr>
              <w:t>capacity market participant</w:t>
            </w:r>
            <w:r>
              <w:rPr>
                <w:szCs w:val="20"/>
                <w:lang w:val="en-CA"/>
              </w:rPr>
              <w:t xml:space="preserve">; and </w:t>
            </w:r>
          </w:p>
          <w:p w:rsidR="00752820" w:rsidRPr="005C0551" w:rsidRDefault="005C0551" w:rsidP="002940E4">
            <w:pPr>
              <w:pStyle w:val="FactSheetBody"/>
              <w:widowControl w:val="0"/>
              <w:tabs>
                <w:tab w:val="left" w:pos="1080"/>
              </w:tabs>
              <w:spacing w:before="120" w:after="120" w:line="240" w:lineRule="auto"/>
              <w:ind w:left="1080" w:hanging="540"/>
              <w:rPr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>(b)</w:t>
            </w:r>
            <w:r>
              <w:rPr>
                <w:szCs w:val="20"/>
                <w:lang w:val="en-CA"/>
              </w:rPr>
              <w:tab/>
            </w:r>
            <w:proofErr w:type="gramStart"/>
            <w:r>
              <w:rPr>
                <w:szCs w:val="20"/>
                <w:lang w:val="en-CA"/>
              </w:rPr>
              <w:t>the</w:t>
            </w:r>
            <w:proofErr w:type="gramEnd"/>
            <w:r>
              <w:rPr>
                <w:szCs w:val="20"/>
                <w:lang w:val="en-CA"/>
              </w:rPr>
              <w:t xml:space="preserve"> </w:t>
            </w:r>
            <w:r>
              <w:rPr>
                <w:b/>
                <w:bCs/>
                <w:szCs w:val="20"/>
                <w:lang w:val="en-CA"/>
              </w:rPr>
              <w:t>ISO</w:t>
            </w:r>
            <w:r>
              <w:rPr>
                <w:bCs/>
                <w:szCs w:val="20"/>
                <w:lang w:val="en-CA"/>
              </w:rPr>
              <w:t xml:space="preserve">. </w:t>
            </w:r>
          </w:p>
        </w:tc>
        <w:tc>
          <w:tcPr>
            <w:tcW w:w="8279" w:type="dxa"/>
            <w:shd w:val="clear" w:color="auto" w:fill="auto"/>
          </w:tcPr>
          <w:p w:rsidR="00752820" w:rsidRPr="00472D95" w:rsidRDefault="00752820" w:rsidP="002940E4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1D" w:rsidRPr="00472D95" w:rsidTr="00A77CFA">
        <w:tc>
          <w:tcPr>
            <w:tcW w:w="1120" w:type="dxa"/>
            <w:shd w:val="clear" w:color="auto" w:fill="auto"/>
          </w:tcPr>
          <w:p w:rsidR="004B091D" w:rsidRPr="00472D95" w:rsidRDefault="004B091D" w:rsidP="002940E4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4B091D" w:rsidRPr="00472D95" w:rsidRDefault="004B091D" w:rsidP="002940E4">
            <w:pPr>
              <w:widowControl w:val="0"/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79" w:type="dxa"/>
          </w:tcPr>
          <w:p w:rsidR="005C0551" w:rsidRDefault="005C0551" w:rsidP="002940E4">
            <w:pPr>
              <w:pStyle w:val="FactSheetHeading2"/>
              <w:widowControl w:val="0"/>
              <w:suppressAutoHyphens w:val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Requirements</w:t>
            </w:r>
          </w:p>
          <w:p w:rsidR="004B091D" w:rsidRPr="00472D95" w:rsidRDefault="005C0551" w:rsidP="002940E4">
            <w:pPr>
              <w:pStyle w:val="FactSheetHeading2"/>
              <w:widowControl w:val="0"/>
              <w:suppressAutoHyphens w:val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Milestone Assessment</w:t>
            </w:r>
          </w:p>
        </w:tc>
        <w:tc>
          <w:tcPr>
            <w:tcW w:w="8279" w:type="dxa"/>
            <w:shd w:val="clear" w:color="auto" w:fill="auto"/>
          </w:tcPr>
          <w:p w:rsidR="004B091D" w:rsidRPr="00472D95" w:rsidRDefault="004B091D" w:rsidP="002940E4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1D" w:rsidRPr="00472D95" w:rsidTr="00A77CFA">
        <w:tc>
          <w:tcPr>
            <w:tcW w:w="1120" w:type="dxa"/>
            <w:shd w:val="clear" w:color="auto" w:fill="auto"/>
          </w:tcPr>
          <w:p w:rsidR="004B091D" w:rsidRPr="00472D95" w:rsidRDefault="005C0551" w:rsidP="002940E4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4B091D" w:rsidRPr="00472D95" w:rsidRDefault="005C0551" w:rsidP="002940E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8279" w:type="dxa"/>
          </w:tcPr>
          <w:p w:rsidR="004B091D" w:rsidRPr="005C0551" w:rsidRDefault="005C0551" w:rsidP="002940E4">
            <w:pPr>
              <w:tabs>
                <w:tab w:val="left" w:pos="540"/>
              </w:tabs>
              <w:spacing w:before="120" w:after="120"/>
              <w:rPr>
                <w:rFonts w:ascii="Arial" w:hAnsi="Arial"/>
                <w:sz w:val="20"/>
                <w:szCs w:val="20"/>
                <w:lang w:val="en-CA"/>
              </w:rPr>
            </w:pPr>
            <w:r w:rsidRPr="005C0551">
              <w:rPr>
                <w:rFonts w:ascii="Arial" w:hAnsi="Arial"/>
                <w:sz w:val="20"/>
                <w:szCs w:val="20"/>
                <w:lang w:val="en-CA"/>
              </w:rPr>
              <w:t xml:space="preserve">The </w:t>
            </w:r>
            <w:r w:rsidRPr="005C0551">
              <w:rPr>
                <w:rFonts w:ascii="Arial" w:hAnsi="Arial"/>
                <w:b/>
                <w:sz w:val="20"/>
                <w:szCs w:val="20"/>
                <w:lang w:val="en-CA"/>
              </w:rPr>
              <w:t>ISO</w:t>
            </w:r>
            <w:r w:rsidRPr="005C0551">
              <w:rPr>
                <w:rFonts w:ascii="Arial" w:hAnsi="Arial"/>
                <w:sz w:val="20"/>
                <w:szCs w:val="20"/>
                <w:lang w:val="en-CA"/>
              </w:rPr>
              <w:t xml:space="preserve"> must develop and publish on the AESO website, the critical milestones and associated target completion dates applicable to respective asset classes identified by the </w:t>
            </w:r>
            <w:r w:rsidRPr="005C0551">
              <w:rPr>
                <w:rFonts w:ascii="Arial" w:hAnsi="Arial"/>
                <w:b/>
                <w:sz w:val="20"/>
                <w:szCs w:val="20"/>
                <w:lang w:val="en-CA"/>
              </w:rPr>
              <w:t>ISO</w:t>
            </w:r>
            <w:r w:rsidRPr="005C0551">
              <w:rPr>
                <w:rFonts w:ascii="Arial" w:hAnsi="Arial"/>
                <w:sz w:val="20"/>
                <w:szCs w:val="20"/>
                <w:lang w:val="en-CA"/>
              </w:rPr>
              <w:t>.</w:t>
            </w:r>
          </w:p>
        </w:tc>
        <w:tc>
          <w:tcPr>
            <w:tcW w:w="8279" w:type="dxa"/>
            <w:shd w:val="clear" w:color="auto" w:fill="auto"/>
          </w:tcPr>
          <w:p w:rsidR="004B091D" w:rsidRPr="00472D95" w:rsidRDefault="004B091D" w:rsidP="002940E4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1D" w:rsidRPr="00472D95" w:rsidTr="00A77CFA">
        <w:tc>
          <w:tcPr>
            <w:tcW w:w="1120" w:type="dxa"/>
            <w:shd w:val="clear" w:color="auto" w:fill="auto"/>
          </w:tcPr>
          <w:p w:rsidR="004B091D" w:rsidRPr="00472D95" w:rsidRDefault="005C0551" w:rsidP="002940E4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4B091D" w:rsidRPr="00472D95" w:rsidRDefault="005C0551" w:rsidP="002940E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8279" w:type="dxa"/>
          </w:tcPr>
          <w:p w:rsidR="004B091D" w:rsidRPr="00472D95" w:rsidRDefault="005C0551" w:rsidP="002940E4">
            <w:pPr>
              <w:widowControl w:val="0"/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C0551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Pr="005C0551">
              <w:rPr>
                <w:rFonts w:ascii="Arial" w:hAnsi="Arial" w:cs="Arial"/>
                <w:b/>
                <w:sz w:val="20"/>
                <w:szCs w:val="20"/>
                <w:lang w:val="en-CA"/>
              </w:rPr>
              <w:t>ISO</w:t>
            </w:r>
            <w:r w:rsidRPr="005C0551">
              <w:rPr>
                <w:rFonts w:ascii="Arial" w:hAnsi="Arial" w:cs="Arial"/>
                <w:sz w:val="20"/>
                <w:szCs w:val="20"/>
                <w:lang w:val="en-CA"/>
              </w:rPr>
              <w:t xml:space="preserve"> must prior to each </w:t>
            </w:r>
            <w:r w:rsidRPr="005C0551">
              <w:rPr>
                <w:rFonts w:ascii="Arial" w:hAnsi="Arial" w:cs="Arial"/>
                <w:b/>
                <w:sz w:val="20"/>
                <w:szCs w:val="20"/>
                <w:lang w:val="en-CA"/>
              </w:rPr>
              <w:t>rebalancing auction</w:t>
            </w:r>
            <w:r w:rsidRPr="005C0551">
              <w:rPr>
                <w:rFonts w:ascii="Arial" w:hAnsi="Arial" w:cs="Arial"/>
                <w:sz w:val="20"/>
                <w:szCs w:val="20"/>
                <w:lang w:val="en-CA"/>
              </w:rPr>
              <w:t xml:space="preserve"> and in accordance with the timelines prescribed in the </w:t>
            </w:r>
            <w:r w:rsidRPr="005C0551">
              <w:rPr>
                <w:rFonts w:ascii="Arial" w:hAnsi="Arial" w:cs="Arial"/>
                <w:i/>
                <w:sz w:val="20"/>
                <w:szCs w:val="20"/>
                <w:lang w:val="en-CA"/>
              </w:rPr>
              <w:t>Capacity Market Auction Guidelines</w:t>
            </w:r>
            <w:r w:rsidRPr="005C0551">
              <w:rPr>
                <w:rFonts w:ascii="Arial" w:hAnsi="Arial" w:cs="Arial"/>
                <w:sz w:val="20"/>
                <w:szCs w:val="20"/>
                <w:lang w:val="en-CA"/>
              </w:rPr>
              <w:t xml:space="preserve">, determine if an asset with </w:t>
            </w:r>
            <w:r w:rsidRPr="005C0551">
              <w:rPr>
                <w:rFonts w:ascii="Arial" w:hAnsi="Arial" w:cs="Arial"/>
                <w:b/>
                <w:sz w:val="20"/>
                <w:szCs w:val="20"/>
                <w:lang w:val="en-CA"/>
              </w:rPr>
              <w:t>new capacity</w:t>
            </w:r>
            <w:r w:rsidRPr="005C0551">
              <w:rPr>
                <w:rFonts w:ascii="Arial" w:hAnsi="Arial" w:cs="Arial"/>
                <w:sz w:val="20"/>
                <w:szCs w:val="20"/>
                <w:lang w:val="en-CA"/>
              </w:rPr>
              <w:t xml:space="preserve">, incremental capacity, or refurbished capacity that is subject to a </w:t>
            </w:r>
            <w:r w:rsidRPr="005C0551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 commitment</w:t>
            </w:r>
            <w:r w:rsidRPr="005C0551">
              <w:rPr>
                <w:rFonts w:ascii="Arial" w:hAnsi="Arial" w:cs="Arial"/>
                <w:sz w:val="20"/>
                <w:szCs w:val="20"/>
                <w:lang w:val="en-CA"/>
              </w:rPr>
              <w:t xml:space="preserve"> has achieved the critical milestones prior to the target completion date in advance of the </w:t>
            </w:r>
            <w:r w:rsidRPr="005C0551">
              <w:rPr>
                <w:rFonts w:ascii="Arial" w:hAnsi="Arial" w:cs="Arial"/>
                <w:b/>
                <w:sz w:val="20"/>
                <w:szCs w:val="20"/>
                <w:lang w:val="en-CA"/>
              </w:rPr>
              <w:t>rebalancing auction</w:t>
            </w:r>
            <w:r w:rsidRPr="005C0551">
              <w:rPr>
                <w:rFonts w:ascii="Arial" w:hAnsi="Arial" w:cs="Arial"/>
                <w:sz w:val="20"/>
                <w:szCs w:val="20"/>
                <w:lang w:val="en-CA"/>
              </w:rPr>
              <w:t>, as applicable.</w:t>
            </w:r>
          </w:p>
        </w:tc>
        <w:tc>
          <w:tcPr>
            <w:tcW w:w="8279" w:type="dxa"/>
            <w:shd w:val="clear" w:color="auto" w:fill="auto"/>
          </w:tcPr>
          <w:p w:rsidR="004B091D" w:rsidRPr="00472D95" w:rsidRDefault="004B091D" w:rsidP="002940E4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1D" w:rsidRPr="00472D95" w:rsidTr="00A77CFA">
        <w:tc>
          <w:tcPr>
            <w:tcW w:w="1120" w:type="dxa"/>
            <w:shd w:val="clear" w:color="auto" w:fill="auto"/>
          </w:tcPr>
          <w:p w:rsidR="004B091D" w:rsidRPr="00472D95" w:rsidRDefault="005C0551" w:rsidP="002940E4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4B091D" w:rsidRPr="00472D95" w:rsidRDefault="005C0551" w:rsidP="002940E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8279" w:type="dxa"/>
          </w:tcPr>
          <w:p w:rsidR="005C0551" w:rsidRPr="005C0551" w:rsidRDefault="005C0551" w:rsidP="002940E4">
            <w:pPr>
              <w:tabs>
                <w:tab w:val="left" w:pos="540"/>
              </w:tabs>
              <w:spacing w:before="120" w:after="120"/>
              <w:rPr>
                <w:rFonts w:ascii="Arial" w:hAnsi="Arial"/>
                <w:sz w:val="20"/>
                <w:szCs w:val="20"/>
                <w:lang w:val="en-CA"/>
              </w:rPr>
            </w:pPr>
            <w:r w:rsidRPr="005C0551">
              <w:rPr>
                <w:rFonts w:ascii="Arial" w:hAnsi="Arial"/>
                <w:sz w:val="20"/>
                <w:szCs w:val="20"/>
                <w:lang w:val="en-CA"/>
              </w:rPr>
              <w:t xml:space="preserve">The </w:t>
            </w:r>
            <w:r w:rsidRPr="005C0551">
              <w:rPr>
                <w:rFonts w:ascii="Arial" w:hAnsi="Arial"/>
                <w:b/>
                <w:sz w:val="20"/>
                <w:szCs w:val="20"/>
                <w:lang w:val="en-CA"/>
              </w:rPr>
              <w:t>ISO</w:t>
            </w:r>
            <w:r w:rsidRPr="005C0551">
              <w:rPr>
                <w:rFonts w:ascii="Arial" w:hAnsi="Arial"/>
                <w:sz w:val="20"/>
                <w:szCs w:val="20"/>
                <w:lang w:val="en-CA"/>
              </w:rPr>
              <w:t xml:space="preserve"> must, where it has determined under subsection 2(2) that an asset with </w:t>
            </w:r>
            <w:r w:rsidRPr="005C0551">
              <w:rPr>
                <w:rFonts w:ascii="Arial" w:hAnsi="Arial"/>
                <w:b/>
                <w:sz w:val="20"/>
                <w:szCs w:val="20"/>
                <w:lang w:val="en-CA"/>
              </w:rPr>
              <w:t xml:space="preserve">new </w:t>
            </w:r>
            <w:r w:rsidRPr="005C0551">
              <w:rPr>
                <w:rFonts w:ascii="Arial" w:hAnsi="Arial"/>
                <w:b/>
                <w:sz w:val="20"/>
                <w:szCs w:val="20"/>
                <w:lang w:val="en-CA"/>
              </w:rPr>
              <w:lastRenderedPageBreak/>
              <w:t>capacity</w:t>
            </w:r>
            <w:r w:rsidRPr="005C0551">
              <w:rPr>
                <w:rFonts w:ascii="Arial" w:hAnsi="Arial"/>
                <w:sz w:val="20"/>
                <w:szCs w:val="20"/>
                <w:lang w:val="en-CA"/>
              </w:rPr>
              <w:t xml:space="preserve"> has not achieved one or more critical milestones that have target completion dates prior to the date of the applicable </w:t>
            </w:r>
            <w:r w:rsidRPr="005C0551">
              <w:rPr>
                <w:rFonts w:ascii="Arial" w:hAnsi="Arial"/>
                <w:b/>
                <w:sz w:val="20"/>
                <w:szCs w:val="20"/>
                <w:lang w:val="en-CA"/>
              </w:rPr>
              <w:t>rebalancing auction</w:t>
            </w:r>
            <w:r w:rsidRPr="005C0551">
              <w:rPr>
                <w:rFonts w:ascii="Arial" w:hAnsi="Arial"/>
                <w:sz w:val="20"/>
                <w:szCs w:val="20"/>
                <w:lang w:val="en-CA"/>
              </w:rPr>
              <w:t>, reasonably determine whether or not such asset will be able to achieve such critical milestone(s):</w:t>
            </w:r>
          </w:p>
          <w:p w:rsidR="005C0551" w:rsidRPr="005C0551" w:rsidRDefault="005C0551" w:rsidP="002940E4">
            <w:pPr>
              <w:spacing w:before="120" w:after="120"/>
              <w:ind w:left="1094" w:hanging="547"/>
              <w:rPr>
                <w:rFonts w:ascii="Arial" w:hAnsi="Arial"/>
                <w:sz w:val="20"/>
                <w:szCs w:val="20"/>
                <w:lang w:val="en-CA"/>
              </w:rPr>
            </w:pPr>
            <w:r w:rsidRPr="005C0551">
              <w:rPr>
                <w:rFonts w:ascii="Arial" w:hAnsi="Arial"/>
                <w:sz w:val="20"/>
                <w:szCs w:val="20"/>
                <w:lang w:val="en-CA"/>
              </w:rPr>
              <w:t>(a)</w:t>
            </w:r>
            <w:r w:rsidRPr="005C0551">
              <w:rPr>
                <w:rFonts w:ascii="Arial" w:hAnsi="Arial"/>
                <w:sz w:val="20"/>
                <w:szCs w:val="20"/>
                <w:lang w:val="en-CA"/>
              </w:rPr>
              <w:tab/>
              <w:t xml:space="preserve">in the case of the first </w:t>
            </w:r>
            <w:r w:rsidRPr="005C0551">
              <w:rPr>
                <w:rFonts w:ascii="Arial" w:hAnsi="Arial"/>
                <w:b/>
                <w:sz w:val="20"/>
                <w:szCs w:val="20"/>
                <w:lang w:val="en-CA"/>
              </w:rPr>
              <w:t>rebalancing auction</w:t>
            </w:r>
            <w:bookmarkStart w:id="3" w:name="_BPDCI_1"/>
            <w:r w:rsidRPr="005C0551">
              <w:rPr>
                <w:rFonts w:ascii="Arial" w:hAnsi="Arial"/>
                <w:sz w:val="20"/>
                <w:szCs w:val="20"/>
                <w:lang w:val="en-CA"/>
              </w:rPr>
              <w:t xml:space="preserve">, </w:t>
            </w:r>
            <w:bookmarkEnd w:id="3"/>
            <w:r w:rsidRPr="005C0551">
              <w:rPr>
                <w:rFonts w:ascii="Arial" w:hAnsi="Arial"/>
                <w:sz w:val="20"/>
                <w:szCs w:val="20"/>
                <w:lang w:val="en-CA"/>
              </w:rPr>
              <w:t xml:space="preserve">within 8 </w:t>
            </w:r>
            <w:r w:rsidRPr="005C0551">
              <w:rPr>
                <w:rFonts w:ascii="Arial" w:hAnsi="Arial"/>
                <w:b/>
                <w:sz w:val="20"/>
                <w:szCs w:val="20"/>
                <w:lang w:val="en-CA"/>
              </w:rPr>
              <w:t>months</w:t>
            </w:r>
            <w:r w:rsidRPr="005C0551">
              <w:rPr>
                <w:rFonts w:ascii="Arial" w:hAnsi="Arial"/>
                <w:sz w:val="20"/>
                <w:szCs w:val="20"/>
                <w:lang w:val="en-CA"/>
              </w:rPr>
              <w:t xml:space="preserve"> after the applicable target completion date(s); and</w:t>
            </w:r>
          </w:p>
          <w:p w:rsidR="004B091D" w:rsidRPr="00472D95" w:rsidRDefault="005C0551" w:rsidP="002940E4">
            <w:pPr>
              <w:pStyle w:val="Caption"/>
              <w:spacing w:line="240" w:lineRule="auto"/>
              <w:jc w:val="left"/>
              <w:rPr>
                <w:rFonts w:cs="Arial"/>
                <w:szCs w:val="20"/>
                <w:lang w:val="en-CA"/>
              </w:rPr>
            </w:pPr>
            <w:r w:rsidRPr="005C0551">
              <w:rPr>
                <w:b w:val="0"/>
                <w:bCs w:val="0"/>
                <w:color w:val="auto"/>
                <w:szCs w:val="20"/>
                <w:lang w:val="en-CA"/>
              </w:rPr>
              <w:t>(b)</w:t>
            </w:r>
            <w:r w:rsidRPr="005C0551">
              <w:rPr>
                <w:b w:val="0"/>
                <w:bCs w:val="0"/>
                <w:color w:val="auto"/>
                <w:szCs w:val="20"/>
                <w:lang w:val="en-CA"/>
              </w:rPr>
              <w:tab/>
              <w:t xml:space="preserve">in the case of the second </w:t>
            </w:r>
            <w:r w:rsidRPr="005C0551">
              <w:rPr>
                <w:bCs w:val="0"/>
                <w:color w:val="auto"/>
                <w:szCs w:val="20"/>
                <w:lang w:val="en-CA"/>
              </w:rPr>
              <w:t>rebalancing auction</w:t>
            </w:r>
            <w:r w:rsidRPr="005C0551">
              <w:rPr>
                <w:b w:val="0"/>
                <w:bCs w:val="0"/>
                <w:color w:val="auto"/>
                <w:szCs w:val="20"/>
                <w:lang w:val="en-CA"/>
              </w:rPr>
              <w:t xml:space="preserve">, and in the case of the singular </w:t>
            </w:r>
            <w:r w:rsidRPr="005C0551">
              <w:rPr>
                <w:bCs w:val="0"/>
                <w:color w:val="auto"/>
                <w:szCs w:val="20"/>
                <w:lang w:val="en-CA"/>
              </w:rPr>
              <w:t xml:space="preserve">rebalancing auction </w:t>
            </w:r>
            <w:r w:rsidRPr="005C0551">
              <w:rPr>
                <w:b w:val="0"/>
                <w:bCs w:val="0"/>
                <w:color w:val="auto"/>
                <w:szCs w:val="20"/>
                <w:lang w:val="en-CA"/>
              </w:rPr>
              <w:t xml:space="preserve">within the transitional period, within 5 </w:t>
            </w:r>
            <w:r w:rsidRPr="005C0551">
              <w:rPr>
                <w:bCs w:val="0"/>
                <w:color w:val="auto"/>
                <w:szCs w:val="20"/>
                <w:lang w:val="en-CA"/>
              </w:rPr>
              <w:t>months</w:t>
            </w:r>
            <w:r w:rsidRPr="005C0551">
              <w:rPr>
                <w:b w:val="0"/>
                <w:bCs w:val="0"/>
                <w:color w:val="auto"/>
                <w:szCs w:val="20"/>
                <w:lang w:val="en-CA"/>
              </w:rPr>
              <w:t xml:space="preserve"> after the applicable target completion date(s). </w:t>
            </w:r>
          </w:p>
        </w:tc>
        <w:tc>
          <w:tcPr>
            <w:tcW w:w="8279" w:type="dxa"/>
            <w:shd w:val="clear" w:color="auto" w:fill="auto"/>
          </w:tcPr>
          <w:p w:rsidR="004B091D" w:rsidRPr="00472D95" w:rsidRDefault="004B091D" w:rsidP="002940E4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1D" w:rsidRPr="00472D95" w:rsidTr="00A77CFA">
        <w:tc>
          <w:tcPr>
            <w:tcW w:w="1120" w:type="dxa"/>
            <w:shd w:val="clear" w:color="auto" w:fill="auto"/>
          </w:tcPr>
          <w:p w:rsidR="004B091D" w:rsidRPr="00472D95" w:rsidRDefault="004B091D" w:rsidP="002940E4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4B091D" w:rsidRPr="00472D95" w:rsidRDefault="004B091D" w:rsidP="002940E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4B091D" w:rsidRPr="005C0551" w:rsidRDefault="005C0551" w:rsidP="002940E4">
            <w:pPr>
              <w:spacing w:before="120" w:after="120"/>
              <w:rPr>
                <w:rFonts w:ascii="Arial" w:hAnsi="Arial"/>
                <w:b/>
                <w:color w:val="1F497D"/>
                <w:sz w:val="20"/>
                <w:szCs w:val="20"/>
                <w:lang w:val="en-CA"/>
              </w:rPr>
            </w:pPr>
            <w:r w:rsidRPr="005C0551">
              <w:rPr>
                <w:rFonts w:ascii="Arial" w:hAnsi="Arial"/>
                <w:b/>
                <w:color w:val="1F497D"/>
                <w:sz w:val="20"/>
                <w:szCs w:val="20"/>
                <w:lang w:val="en-CA"/>
              </w:rPr>
              <w:t xml:space="preserve">Unique Asset Classes </w:t>
            </w:r>
          </w:p>
        </w:tc>
        <w:tc>
          <w:tcPr>
            <w:tcW w:w="8279" w:type="dxa"/>
            <w:shd w:val="clear" w:color="auto" w:fill="auto"/>
          </w:tcPr>
          <w:p w:rsidR="004B091D" w:rsidRPr="00472D95" w:rsidRDefault="004B091D" w:rsidP="002940E4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DA1" w:rsidRPr="00472D95" w:rsidTr="00A77CFA">
        <w:tc>
          <w:tcPr>
            <w:tcW w:w="1120" w:type="dxa"/>
            <w:shd w:val="clear" w:color="auto" w:fill="auto"/>
          </w:tcPr>
          <w:p w:rsidR="003B3DA1" w:rsidRPr="00472D95" w:rsidRDefault="005C0551" w:rsidP="002940E4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3B3DA1" w:rsidRPr="00472D95" w:rsidRDefault="005C0551" w:rsidP="002940E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8279" w:type="dxa"/>
          </w:tcPr>
          <w:p w:rsidR="003B3DA1" w:rsidRPr="005C0551" w:rsidRDefault="005C0551" w:rsidP="002940E4">
            <w:pPr>
              <w:tabs>
                <w:tab w:val="left" w:pos="540"/>
              </w:tabs>
              <w:spacing w:before="120" w:after="120"/>
              <w:rPr>
                <w:rFonts w:ascii="Arial" w:hAnsi="Arial"/>
                <w:sz w:val="20"/>
                <w:szCs w:val="20"/>
                <w:lang w:val="en-CA"/>
              </w:rPr>
            </w:pPr>
            <w:r w:rsidRPr="005C0551">
              <w:rPr>
                <w:rFonts w:ascii="Arial" w:hAnsi="Arial"/>
                <w:sz w:val="20"/>
                <w:szCs w:val="20"/>
                <w:lang w:val="en-CA"/>
              </w:rPr>
              <w:t xml:space="preserve">The </w:t>
            </w:r>
            <w:r w:rsidRPr="005C0551">
              <w:rPr>
                <w:rFonts w:ascii="Arial" w:hAnsi="Arial"/>
                <w:b/>
                <w:sz w:val="20"/>
                <w:szCs w:val="20"/>
                <w:lang w:val="en-CA"/>
              </w:rPr>
              <w:t xml:space="preserve">ISO </w:t>
            </w:r>
            <w:r w:rsidRPr="005C0551">
              <w:rPr>
                <w:rFonts w:ascii="Arial" w:hAnsi="Arial"/>
                <w:sz w:val="20"/>
                <w:szCs w:val="20"/>
                <w:lang w:val="en-CA"/>
              </w:rPr>
              <w:t xml:space="preserve">may, if it received a project plan for an asset with </w:t>
            </w:r>
            <w:r w:rsidRPr="005C0551">
              <w:rPr>
                <w:rFonts w:ascii="Arial" w:hAnsi="Arial"/>
                <w:b/>
                <w:sz w:val="20"/>
                <w:szCs w:val="20"/>
                <w:lang w:val="en-CA"/>
              </w:rPr>
              <w:t>new capacity</w:t>
            </w:r>
            <w:r w:rsidRPr="005C0551">
              <w:rPr>
                <w:rFonts w:ascii="Arial" w:hAnsi="Arial"/>
                <w:sz w:val="20"/>
                <w:szCs w:val="20"/>
                <w:lang w:val="en-CA"/>
              </w:rPr>
              <w:t xml:space="preserve"> pursuant to Section 206.1 of the </w:t>
            </w:r>
            <w:r w:rsidRPr="005C0551">
              <w:rPr>
                <w:rFonts w:ascii="Arial" w:hAnsi="Arial"/>
                <w:b/>
                <w:sz w:val="20"/>
                <w:szCs w:val="20"/>
                <w:lang w:val="en-CA"/>
              </w:rPr>
              <w:t>ISO rules</w:t>
            </w:r>
            <w:r w:rsidRPr="005C0551">
              <w:rPr>
                <w:rFonts w:ascii="Arial" w:hAnsi="Arial"/>
                <w:sz w:val="20"/>
                <w:szCs w:val="20"/>
                <w:lang w:val="en-CA"/>
              </w:rPr>
              <w:t xml:space="preserve">, </w:t>
            </w:r>
            <w:r w:rsidRPr="005C0551">
              <w:rPr>
                <w:rFonts w:ascii="Arial" w:hAnsi="Arial"/>
                <w:i/>
                <w:sz w:val="20"/>
                <w:szCs w:val="20"/>
                <w:lang w:val="en-CA"/>
              </w:rPr>
              <w:t>Qualification of Capacity</w:t>
            </w:r>
            <w:r w:rsidRPr="005C0551">
              <w:rPr>
                <w:rFonts w:ascii="Arial" w:hAnsi="Arial"/>
                <w:sz w:val="20"/>
                <w:szCs w:val="20"/>
                <w:lang w:val="en-CA"/>
              </w:rPr>
              <w:t xml:space="preserve"> that is not included in the asset classes set out in subsection 2(1), develop a set of proposed critical milestones and associated target completion dates for such asset.</w:t>
            </w:r>
          </w:p>
        </w:tc>
        <w:tc>
          <w:tcPr>
            <w:tcW w:w="8279" w:type="dxa"/>
            <w:shd w:val="clear" w:color="auto" w:fill="auto"/>
          </w:tcPr>
          <w:p w:rsidR="003B3DA1" w:rsidRPr="00472D95" w:rsidRDefault="003B3DA1" w:rsidP="002940E4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DA1" w:rsidRPr="00472D95" w:rsidTr="00A77CFA">
        <w:tc>
          <w:tcPr>
            <w:tcW w:w="1120" w:type="dxa"/>
            <w:shd w:val="clear" w:color="auto" w:fill="auto"/>
          </w:tcPr>
          <w:p w:rsidR="003B3DA1" w:rsidRPr="00472D95" w:rsidRDefault="005C0551" w:rsidP="002940E4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3B3DA1" w:rsidRPr="00472D95" w:rsidRDefault="005C0551" w:rsidP="002940E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8279" w:type="dxa"/>
          </w:tcPr>
          <w:p w:rsidR="003B3DA1" w:rsidRPr="005C0551" w:rsidRDefault="005C0551" w:rsidP="002940E4">
            <w:pPr>
              <w:tabs>
                <w:tab w:val="left" w:pos="540"/>
              </w:tabs>
              <w:spacing w:before="120" w:after="120"/>
              <w:rPr>
                <w:rFonts w:ascii="Arial" w:hAnsi="Arial"/>
                <w:sz w:val="20"/>
                <w:szCs w:val="20"/>
                <w:lang w:val="en-CA"/>
              </w:rPr>
            </w:pPr>
            <w:r w:rsidRPr="005C0551">
              <w:rPr>
                <w:rFonts w:ascii="Arial" w:hAnsi="Arial"/>
                <w:sz w:val="20"/>
                <w:szCs w:val="20"/>
                <w:lang w:val="en-CA"/>
              </w:rPr>
              <w:t xml:space="preserve">The </w:t>
            </w:r>
            <w:r w:rsidRPr="005C0551">
              <w:rPr>
                <w:rFonts w:ascii="Arial" w:hAnsi="Arial"/>
                <w:b/>
                <w:sz w:val="20"/>
                <w:szCs w:val="20"/>
                <w:lang w:val="en-CA"/>
              </w:rPr>
              <w:t>ISO</w:t>
            </w:r>
            <w:r w:rsidRPr="005C0551">
              <w:rPr>
                <w:rFonts w:ascii="Arial" w:hAnsi="Arial"/>
                <w:sz w:val="20"/>
                <w:szCs w:val="20"/>
                <w:lang w:val="en-CA"/>
              </w:rPr>
              <w:t xml:space="preserve"> must notify </w:t>
            </w:r>
            <w:r w:rsidRPr="005C0551">
              <w:rPr>
                <w:rFonts w:ascii="Arial" w:hAnsi="Arial"/>
                <w:b/>
                <w:sz w:val="20"/>
                <w:szCs w:val="20"/>
                <w:lang w:val="en-CA"/>
              </w:rPr>
              <w:t>capacity market participants</w:t>
            </w:r>
            <w:r w:rsidRPr="005C0551">
              <w:rPr>
                <w:rFonts w:ascii="Arial" w:hAnsi="Arial"/>
                <w:sz w:val="20"/>
                <w:szCs w:val="20"/>
                <w:lang w:val="en-CA"/>
              </w:rPr>
              <w:t xml:space="preserve"> of its proposed critical milestones and associated target completion dates under subsection 3(1).</w:t>
            </w:r>
          </w:p>
        </w:tc>
        <w:tc>
          <w:tcPr>
            <w:tcW w:w="8279" w:type="dxa"/>
            <w:shd w:val="clear" w:color="auto" w:fill="auto"/>
          </w:tcPr>
          <w:p w:rsidR="003B3DA1" w:rsidRPr="00472D95" w:rsidRDefault="003B3DA1" w:rsidP="002940E4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DA1" w:rsidRPr="00472D95" w:rsidTr="00A77CFA">
        <w:tc>
          <w:tcPr>
            <w:tcW w:w="1120" w:type="dxa"/>
            <w:shd w:val="clear" w:color="auto" w:fill="auto"/>
          </w:tcPr>
          <w:p w:rsidR="003B3DA1" w:rsidRPr="00472D95" w:rsidRDefault="005C0551" w:rsidP="002940E4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3B3DA1" w:rsidRPr="00472D95" w:rsidRDefault="005C0551" w:rsidP="002940E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8279" w:type="dxa"/>
          </w:tcPr>
          <w:p w:rsidR="003B3DA1" w:rsidRPr="00472D95" w:rsidRDefault="005C0551" w:rsidP="002940E4">
            <w:pPr>
              <w:pStyle w:val="FactSheetBody"/>
              <w:keepNext/>
              <w:tabs>
                <w:tab w:val="left" w:pos="540"/>
              </w:tabs>
              <w:spacing w:before="120" w:after="120" w:line="240" w:lineRule="auto"/>
              <w:rPr>
                <w:b/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 xml:space="preserve">The </w:t>
            </w:r>
            <w:r w:rsidRPr="007C69AE">
              <w:rPr>
                <w:b/>
                <w:szCs w:val="20"/>
                <w:lang w:val="en-CA"/>
              </w:rPr>
              <w:t>ISO</w:t>
            </w:r>
            <w:r>
              <w:rPr>
                <w:szCs w:val="20"/>
                <w:lang w:val="en-CA"/>
              </w:rPr>
              <w:t xml:space="preserve"> may add an asset class with the critical milestones and target completion dates as determined in subsection 3(1) to the list published in accordance with subsection 2(1).</w:t>
            </w:r>
          </w:p>
        </w:tc>
        <w:tc>
          <w:tcPr>
            <w:tcW w:w="8279" w:type="dxa"/>
            <w:shd w:val="clear" w:color="auto" w:fill="auto"/>
          </w:tcPr>
          <w:p w:rsidR="003B3DA1" w:rsidRPr="00472D95" w:rsidRDefault="003B3DA1" w:rsidP="002940E4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551" w:rsidRPr="00472D95" w:rsidTr="00A77CFA">
        <w:tc>
          <w:tcPr>
            <w:tcW w:w="1120" w:type="dxa"/>
            <w:shd w:val="clear" w:color="auto" w:fill="auto"/>
          </w:tcPr>
          <w:p w:rsidR="005C0551" w:rsidRDefault="005C0551" w:rsidP="002940E4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5C0551" w:rsidRDefault="005C0551" w:rsidP="002940E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8279" w:type="dxa"/>
          </w:tcPr>
          <w:p w:rsidR="005C0551" w:rsidRDefault="005C0551" w:rsidP="002940E4">
            <w:pPr>
              <w:pStyle w:val="FactSheetBody"/>
              <w:keepNext/>
              <w:tabs>
                <w:tab w:val="left" w:pos="540"/>
              </w:tabs>
              <w:spacing w:before="120" w:after="120" w:line="240" w:lineRule="auto"/>
              <w:rPr>
                <w:szCs w:val="20"/>
                <w:lang w:val="en-CA"/>
              </w:rPr>
            </w:pPr>
            <w:r w:rsidRPr="003632F4">
              <w:rPr>
                <w:szCs w:val="20"/>
                <w:lang w:val="en-CA"/>
              </w:rPr>
              <w:t xml:space="preserve">The </w:t>
            </w:r>
            <w:r w:rsidRPr="003632F4">
              <w:rPr>
                <w:b/>
                <w:szCs w:val="20"/>
                <w:lang w:val="en-CA"/>
              </w:rPr>
              <w:t>ISO</w:t>
            </w:r>
            <w:r w:rsidRPr="003632F4">
              <w:rPr>
                <w:szCs w:val="20"/>
                <w:lang w:val="en-CA"/>
              </w:rPr>
              <w:t xml:space="preserve"> must determine if an asset with </w:t>
            </w:r>
            <w:r w:rsidRPr="003632F4">
              <w:rPr>
                <w:b/>
                <w:szCs w:val="20"/>
                <w:lang w:val="en-CA"/>
              </w:rPr>
              <w:t>new capacity</w:t>
            </w:r>
            <w:r w:rsidRPr="003632F4">
              <w:rPr>
                <w:szCs w:val="20"/>
                <w:lang w:val="en-CA"/>
              </w:rPr>
              <w:t xml:space="preserve"> has not achieved one or more critical milestones that have target completion dates prior to the date of the applicable </w:t>
            </w:r>
            <w:r w:rsidRPr="003632F4">
              <w:rPr>
                <w:b/>
                <w:szCs w:val="20"/>
                <w:lang w:val="en-CA"/>
              </w:rPr>
              <w:t>rebalancing auction.</w:t>
            </w:r>
          </w:p>
        </w:tc>
        <w:tc>
          <w:tcPr>
            <w:tcW w:w="8279" w:type="dxa"/>
            <w:shd w:val="clear" w:color="auto" w:fill="auto"/>
          </w:tcPr>
          <w:p w:rsidR="005C0551" w:rsidRPr="00472D95" w:rsidRDefault="005C0551" w:rsidP="002940E4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551" w:rsidRPr="00472D95" w:rsidTr="00A77CFA">
        <w:tc>
          <w:tcPr>
            <w:tcW w:w="1120" w:type="dxa"/>
            <w:shd w:val="clear" w:color="auto" w:fill="auto"/>
          </w:tcPr>
          <w:p w:rsidR="005C0551" w:rsidRDefault="005C0551" w:rsidP="002940E4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C0551" w:rsidRDefault="005C0551" w:rsidP="002940E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5C0551" w:rsidRPr="005C0551" w:rsidRDefault="005C0551" w:rsidP="002940E4">
            <w:pPr>
              <w:pStyle w:val="FactSheetHeading2"/>
              <w:widowControl w:val="0"/>
              <w:suppressAutoHyphens w:val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Outcome of Milestone Assessment</w:t>
            </w:r>
          </w:p>
        </w:tc>
        <w:tc>
          <w:tcPr>
            <w:tcW w:w="8279" w:type="dxa"/>
            <w:shd w:val="clear" w:color="auto" w:fill="auto"/>
          </w:tcPr>
          <w:p w:rsidR="005C0551" w:rsidRPr="00472D95" w:rsidRDefault="005C0551" w:rsidP="002940E4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551" w:rsidRPr="00472D95" w:rsidTr="00A77CFA">
        <w:tc>
          <w:tcPr>
            <w:tcW w:w="1120" w:type="dxa"/>
            <w:shd w:val="clear" w:color="auto" w:fill="auto"/>
          </w:tcPr>
          <w:p w:rsidR="005C0551" w:rsidRDefault="005C0551" w:rsidP="002940E4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20" w:type="dxa"/>
          </w:tcPr>
          <w:p w:rsidR="005C0551" w:rsidRDefault="005C0551" w:rsidP="002940E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5C0551" w:rsidRDefault="005C0551" w:rsidP="002940E4">
            <w:pPr>
              <w:pStyle w:val="FactSheetBody"/>
              <w:widowControl w:val="0"/>
              <w:tabs>
                <w:tab w:val="left" w:pos="540"/>
              </w:tabs>
              <w:spacing w:before="120" w:after="120" w:line="240" w:lineRule="auto"/>
              <w:rPr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 xml:space="preserve">A </w:t>
            </w:r>
            <w:r>
              <w:rPr>
                <w:b/>
                <w:szCs w:val="20"/>
                <w:lang w:val="en-CA"/>
              </w:rPr>
              <w:t>capacity market participant</w:t>
            </w:r>
            <w:r>
              <w:rPr>
                <w:szCs w:val="20"/>
                <w:lang w:val="en-CA"/>
              </w:rPr>
              <w:t xml:space="preserve"> must, where the </w:t>
            </w:r>
            <w:r>
              <w:rPr>
                <w:b/>
                <w:szCs w:val="20"/>
                <w:lang w:val="en-CA"/>
              </w:rPr>
              <w:t>ISO</w:t>
            </w:r>
            <w:r>
              <w:rPr>
                <w:szCs w:val="20"/>
                <w:lang w:val="en-CA"/>
              </w:rPr>
              <w:t xml:space="preserve"> has determined under subsection 2 that an asset will not achieve one or more critical milestones, submit a </w:t>
            </w:r>
            <w:r w:rsidRPr="00E358F7">
              <w:rPr>
                <w:b/>
                <w:szCs w:val="20"/>
                <w:lang w:val="en-CA"/>
              </w:rPr>
              <w:t>bid</w:t>
            </w:r>
            <w:r>
              <w:rPr>
                <w:szCs w:val="20"/>
                <w:lang w:val="en-CA"/>
              </w:rPr>
              <w:t xml:space="preserve"> in respect of the </w:t>
            </w:r>
            <w:r w:rsidRPr="002F27B5">
              <w:rPr>
                <w:b/>
                <w:szCs w:val="20"/>
                <w:lang w:val="en-CA"/>
              </w:rPr>
              <w:t>new capacity</w:t>
            </w:r>
            <w:r w:rsidRPr="00E358F7">
              <w:rPr>
                <w:szCs w:val="20"/>
                <w:lang w:val="en-CA"/>
              </w:rPr>
              <w:t>, incremental capacity, or refurbished capacity</w:t>
            </w:r>
            <w:r>
              <w:rPr>
                <w:szCs w:val="20"/>
                <w:lang w:val="en-CA"/>
              </w:rPr>
              <w:t xml:space="preserve"> of such asset in accordance with Section 206.4 of the </w:t>
            </w:r>
            <w:r>
              <w:rPr>
                <w:b/>
                <w:szCs w:val="20"/>
                <w:lang w:val="en-CA"/>
              </w:rPr>
              <w:t>ISO rules</w:t>
            </w:r>
            <w:r>
              <w:rPr>
                <w:szCs w:val="20"/>
                <w:lang w:val="en-CA"/>
              </w:rPr>
              <w:t xml:space="preserve">, </w:t>
            </w:r>
            <w:r>
              <w:rPr>
                <w:i/>
                <w:szCs w:val="20"/>
                <w:lang w:val="en-CA"/>
              </w:rPr>
              <w:t xml:space="preserve">Offers and Bids for the Capacity Market. </w:t>
            </w:r>
            <w:r>
              <w:rPr>
                <w:szCs w:val="20"/>
                <w:lang w:val="en-CA"/>
              </w:rPr>
              <w:t xml:space="preserve">  </w:t>
            </w:r>
          </w:p>
        </w:tc>
        <w:tc>
          <w:tcPr>
            <w:tcW w:w="8279" w:type="dxa"/>
            <w:shd w:val="clear" w:color="auto" w:fill="auto"/>
          </w:tcPr>
          <w:p w:rsidR="005C0551" w:rsidRPr="00472D95" w:rsidRDefault="005C0551" w:rsidP="002940E4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551" w:rsidRPr="00472D95" w:rsidTr="00A77CFA">
        <w:tc>
          <w:tcPr>
            <w:tcW w:w="1120" w:type="dxa"/>
            <w:shd w:val="clear" w:color="auto" w:fill="auto"/>
          </w:tcPr>
          <w:p w:rsidR="005C0551" w:rsidRDefault="005C0551" w:rsidP="002940E4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C0551" w:rsidRDefault="005C0551" w:rsidP="002940E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5C0551" w:rsidRPr="005C0551" w:rsidRDefault="005C0551" w:rsidP="002940E4">
            <w:pPr>
              <w:pStyle w:val="FactSheetHeading2"/>
              <w:widowControl w:val="0"/>
              <w:suppressAutoHyphens w:val="0"/>
              <w:rPr>
                <w:sz w:val="20"/>
                <w:szCs w:val="20"/>
                <w:lang w:val="en-CA"/>
              </w:rPr>
            </w:pPr>
            <w:r w:rsidRPr="00ED39B8">
              <w:rPr>
                <w:sz w:val="20"/>
                <w:szCs w:val="20"/>
                <w:lang w:val="en-CA"/>
              </w:rPr>
              <w:t xml:space="preserve">Milestone </w:t>
            </w:r>
            <w:r w:rsidRPr="00807C40">
              <w:rPr>
                <w:sz w:val="20"/>
                <w:szCs w:val="20"/>
                <w:lang w:val="en-CA"/>
              </w:rPr>
              <w:t>Assessment</w:t>
            </w:r>
            <w:r w:rsidRPr="00ED39B8">
              <w:rPr>
                <w:sz w:val="20"/>
                <w:szCs w:val="20"/>
                <w:lang w:val="en-CA"/>
              </w:rPr>
              <w:t xml:space="preserve"> for Load Assets</w:t>
            </w:r>
          </w:p>
        </w:tc>
        <w:tc>
          <w:tcPr>
            <w:tcW w:w="8279" w:type="dxa"/>
            <w:shd w:val="clear" w:color="auto" w:fill="auto"/>
          </w:tcPr>
          <w:p w:rsidR="005C0551" w:rsidRPr="00472D95" w:rsidRDefault="005C0551" w:rsidP="002940E4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551" w:rsidRPr="00472D95" w:rsidTr="00A77CFA">
        <w:tc>
          <w:tcPr>
            <w:tcW w:w="1120" w:type="dxa"/>
            <w:shd w:val="clear" w:color="auto" w:fill="auto"/>
          </w:tcPr>
          <w:p w:rsidR="005C0551" w:rsidRDefault="005C0551" w:rsidP="002940E4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420" w:type="dxa"/>
          </w:tcPr>
          <w:p w:rsidR="005C0551" w:rsidRDefault="005C0551" w:rsidP="002940E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8279" w:type="dxa"/>
          </w:tcPr>
          <w:p w:rsidR="005C0551" w:rsidRPr="005C0551" w:rsidRDefault="005C0551" w:rsidP="002940E4">
            <w:pPr>
              <w:tabs>
                <w:tab w:val="left" w:pos="540"/>
              </w:tabs>
              <w:spacing w:before="120" w:after="120"/>
              <w:rPr>
                <w:rFonts w:ascii="Arial" w:hAnsi="Arial"/>
                <w:sz w:val="20"/>
                <w:szCs w:val="20"/>
                <w:lang w:val="en-CA"/>
              </w:rPr>
            </w:pPr>
            <w:r w:rsidRPr="005C0551">
              <w:rPr>
                <w:rFonts w:ascii="Arial" w:hAnsi="Arial"/>
                <w:sz w:val="20"/>
                <w:szCs w:val="20"/>
                <w:lang w:val="en-CA"/>
              </w:rPr>
              <w:t xml:space="preserve">The </w:t>
            </w:r>
            <w:r w:rsidRPr="005C0551">
              <w:rPr>
                <w:rFonts w:ascii="Arial" w:hAnsi="Arial"/>
                <w:b/>
                <w:sz w:val="20"/>
                <w:szCs w:val="20"/>
                <w:lang w:val="en-CA"/>
              </w:rPr>
              <w:t>ISO</w:t>
            </w:r>
            <w:r w:rsidRPr="005C0551">
              <w:rPr>
                <w:rFonts w:ascii="Arial" w:hAnsi="Arial"/>
                <w:sz w:val="20"/>
                <w:szCs w:val="20"/>
                <w:lang w:val="en-CA"/>
              </w:rPr>
              <w:t xml:space="preserve"> must, prior to the last </w:t>
            </w:r>
            <w:r w:rsidRPr="005C0551">
              <w:rPr>
                <w:rFonts w:ascii="Arial" w:hAnsi="Arial"/>
                <w:b/>
                <w:sz w:val="20"/>
                <w:szCs w:val="20"/>
                <w:lang w:val="en-CA"/>
              </w:rPr>
              <w:t>rebalancing auction</w:t>
            </w:r>
            <w:r w:rsidRPr="005C0551">
              <w:rPr>
                <w:rFonts w:ascii="Arial" w:hAnsi="Arial"/>
                <w:sz w:val="20"/>
                <w:szCs w:val="20"/>
                <w:lang w:val="en-CA"/>
              </w:rPr>
              <w:t xml:space="preserve"> for each load asset with </w:t>
            </w:r>
            <w:r w:rsidRPr="005C0551">
              <w:rPr>
                <w:rFonts w:ascii="Arial" w:hAnsi="Arial"/>
                <w:b/>
                <w:sz w:val="20"/>
                <w:szCs w:val="20"/>
                <w:lang w:val="en-CA"/>
              </w:rPr>
              <w:t>new capacity</w:t>
            </w:r>
            <w:r w:rsidRPr="005C0551">
              <w:rPr>
                <w:rFonts w:ascii="Arial" w:hAnsi="Arial"/>
                <w:sz w:val="20"/>
                <w:szCs w:val="20"/>
                <w:lang w:val="en-CA"/>
              </w:rPr>
              <w:t xml:space="preserve"> that is subject to a </w:t>
            </w:r>
            <w:r w:rsidRPr="005C0551">
              <w:rPr>
                <w:rFonts w:ascii="Arial" w:hAnsi="Arial"/>
                <w:b/>
                <w:sz w:val="20"/>
                <w:szCs w:val="20"/>
                <w:lang w:val="en-CA"/>
              </w:rPr>
              <w:t>capacity commitment</w:t>
            </w:r>
            <w:r w:rsidRPr="005C0551">
              <w:rPr>
                <w:rFonts w:ascii="Arial" w:hAnsi="Arial"/>
                <w:sz w:val="20"/>
                <w:szCs w:val="20"/>
                <w:lang w:val="en-CA"/>
              </w:rPr>
              <w:t xml:space="preserve">, make a determination of whether the asset will be able to provide a minimum 75% of the </w:t>
            </w:r>
            <w:r w:rsidRPr="005C0551">
              <w:rPr>
                <w:rFonts w:ascii="Arial" w:hAnsi="Arial"/>
                <w:b/>
                <w:sz w:val="20"/>
                <w:szCs w:val="20"/>
                <w:lang w:val="en-CA"/>
              </w:rPr>
              <w:t xml:space="preserve">capacity commitment </w:t>
            </w:r>
            <w:r w:rsidRPr="005C0551">
              <w:rPr>
                <w:rFonts w:ascii="Arial" w:hAnsi="Arial"/>
                <w:sz w:val="20"/>
                <w:szCs w:val="20"/>
                <w:lang w:val="en-CA"/>
              </w:rPr>
              <w:t xml:space="preserve">based on the supporting evidence submitted pursuant to subsection 5(2).  </w:t>
            </w:r>
          </w:p>
        </w:tc>
        <w:tc>
          <w:tcPr>
            <w:tcW w:w="8279" w:type="dxa"/>
            <w:shd w:val="clear" w:color="auto" w:fill="auto"/>
          </w:tcPr>
          <w:p w:rsidR="005C0551" w:rsidRPr="00472D95" w:rsidRDefault="005C0551" w:rsidP="002940E4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551" w:rsidRPr="00472D95" w:rsidTr="00A77CFA">
        <w:tc>
          <w:tcPr>
            <w:tcW w:w="1120" w:type="dxa"/>
            <w:shd w:val="clear" w:color="auto" w:fill="auto"/>
          </w:tcPr>
          <w:p w:rsidR="005C0551" w:rsidRDefault="005C0551" w:rsidP="002940E4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5C0551" w:rsidRDefault="005C0551" w:rsidP="002940E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8279" w:type="dxa"/>
          </w:tcPr>
          <w:p w:rsidR="005C0551" w:rsidRPr="005C0551" w:rsidRDefault="005C0551" w:rsidP="002940E4">
            <w:pPr>
              <w:tabs>
                <w:tab w:val="left" w:pos="540"/>
              </w:tabs>
              <w:spacing w:before="120" w:after="120"/>
              <w:rPr>
                <w:rFonts w:ascii="Arial" w:hAnsi="Arial"/>
                <w:sz w:val="20"/>
                <w:szCs w:val="20"/>
                <w:lang w:val="en-CA"/>
              </w:rPr>
            </w:pPr>
            <w:r w:rsidRPr="005C0551">
              <w:rPr>
                <w:rFonts w:ascii="Arial" w:hAnsi="Arial"/>
                <w:sz w:val="20"/>
                <w:szCs w:val="20"/>
                <w:lang w:val="en-CA"/>
              </w:rPr>
              <w:t xml:space="preserve">A </w:t>
            </w:r>
            <w:r w:rsidRPr="005C0551">
              <w:rPr>
                <w:rFonts w:ascii="Arial" w:hAnsi="Arial"/>
                <w:b/>
                <w:sz w:val="20"/>
                <w:szCs w:val="20"/>
                <w:lang w:val="en-CA"/>
              </w:rPr>
              <w:t>capacity market participant</w:t>
            </w:r>
            <w:r w:rsidRPr="005C0551">
              <w:rPr>
                <w:rFonts w:ascii="Arial" w:hAnsi="Arial"/>
                <w:sz w:val="20"/>
                <w:szCs w:val="20"/>
                <w:lang w:val="en-CA"/>
              </w:rPr>
              <w:t xml:space="preserve"> must submit evidence of sufficient contracted loads to meet the milestone in subsection 5(1) and any other information that the </w:t>
            </w:r>
            <w:r w:rsidRPr="005C0551">
              <w:rPr>
                <w:rFonts w:ascii="Arial" w:hAnsi="Arial"/>
                <w:b/>
                <w:sz w:val="20"/>
                <w:szCs w:val="20"/>
                <w:lang w:val="en-CA"/>
              </w:rPr>
              <w:t>ISO</w:t>
            </w:r>
            <w:r w:rsidRPr="005C0551">
              <w:rPr>
                <w:rFonts w:ascii="Arial" w:hAnsi="Arial"/>
                <w:sz w:val="20"/>
                <w:szCs w:val="20"/>
                <w:lang w:val="en-CA"/>
              </w:rPr>
              <w:t xml:space="preserve"> requires. </w:t>
            </w:r>
          </w:p>
        </w:tc>
        <w:tc>
          <w:tcPr>
            <w:tcW w:w="8279" w:type="dxa"/>
            <w:shd w:val="clear" w:color="auto" w:fill="auto"/>
          </w:tcPr>
          <w:p w:rsidR="005C0551" w:rsidRPr="00472D95" w:rsidRDefault="005C0551" w:rsidP="002940E4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551" w:rsidRPr="00472D95" w:rsidTr="00A77CFA">
        <w:tc>
          <w:tcPr>
            <w:tcW w:w="1120" w:type="dxa"/>
            <w:shd w:val="clear" w:color="auto" w:fill="auto"/>
          </w:tcPr>
          <w:p w:rsidR="005C0551" w:rsidRDefault="005C0551" w:rsidP="002940E4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5C0551" w:rsidRDefault="005C0551" w:rsidP="002940E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8279" w:type="dxa"/>
          </w:tcPr>
          <w:p w:rsidR="005C0551" w:rsidRPr="005C0551" w:rsidRDefault="005C0551" w:rsidP="002940E4">
            <w:pPr>
              <w:tabs>
                <w:tab w:val="left" w:pos="540"/>
              </w:tabs>
              <w:spacing w:before="120" w:after="120"/>
              <w:rPr>
                <w:rFonts w:ascii="Arial" w:hAnsi="Arial"/>
                <w:sz w:val="20"/>
                <w:szCs w:val="20"/>
                <w:lang w:val="en-CA"/>
              </w:rPr>
            </w:pPr>
            <w:r w:rsidRPr="005C0551">
              <w:rPr>
                <w:rFonts w:ascii="Arial" w:hAnsi="Arial"/>
                <w:sz w:val="20"/>
                <w:szCs w:val="20"/>
                <w:lang w:val="en-CA"/>
              </w:rPr>
              <w:t xml:space="preserve">The </w:t>
            </w:r>
            <w:r w:rsidRPr="005C0551">
              <w:rPr>
                <w:rFonts w:ascii="Arial" w:hAnsi="Arial"/>
                <w:b/>
                <w:sz w:val="20"/>
                <w:szCs w:val="20"/>
                <w:lang w:val="en-CA"/>
              </w:rPr>
              <w:t>ISO</w:t>
            </w:r>
            <w:r w:rsidRPr="005C0551">
              <w:rPr>
                <w:rFonts w:ascii="Arial" w:hAnsi="Arial"/>
                <w:sz w:val="20"/>
                <w:szCs w:val="20"/>
                <w:lang w:val="en-CA"/>
              </w:rPr>
              <w:t xml:space="preserve"> must notify the </w:t>
            </w:r>
            <w:r w:rsidRPr="005C0551">
              <w:rPr>
                <w:rFonts w:ascii="Arial" w:hAnsi="Arial"/>
                <w:b/>
                <w:sz w:val="20"/>
                <w:szCs w:val="20"/>
                <w:lang w:val="en-CA"/>
              </w:rPr>
              <w:t>capacity market participant</w:t>
            </w:r>
            <w:r w:rsidRPr="005C0551">
              <w:rPr>
                <w:rFonts w:ascii="Arial" w:hAnsi="Arial"/>
                <w:sz w:val="20"/>
                <w:szCs w:val="20"/>
                <w:lang w:val="en-CA"/>
              </w:rPr>
              <w:t xml:space="preserve"> of its determination under subsection 5(1). </w:t>
            </w:r>
          </w:p>
        </w:tc>
        <w:tc>
          <w:tcPr>
            <w:tcW w:w="8279" w:type="dxa"/>
            <w:shd w:val="clear" w:color="auto" w:fill="auto"/>
          </w:tcPr>
          <w:p w:rsidR="005C0551" w:rsidRPr="00472D95" w:rsidRDefault="005C0551" w:rsidP="002940E4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551" w:rsidRPr="00472D95" w:rsidTr="00A77CFA">
        <w:tc>
          <w:tcPr>
            <w:tcW w:w="1120" w:type="dxa"/>
            <w:shd w:val="clear" w:color="auto" w:fill="auto"/>
          </w:tcPr>
          <w:p w:rsidR="005C0551" w:rsidRDefault="005C0551" w:rsidP="002940E4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5C0551" w:rsidRDefault="005C0551" w:rsidP="002940E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8279" w:type="dxa"/>
          </w:tcPr>
          <w:p w:rsidR="005C0551" w:rsidRPr="005C0551" w:rsidRDefault="005C0551" w:rsidP="002940E4">
            <w:pPr>
              <w:pStyle w:val="FactSheetBody"/>
              <w:widowControl w:val="0"/>
              <w:tabs>
                <w:tab w:val="left" w:pos="540"/>
              </w:tabs>
              <w:spacing w:before="120" w:after="120" w:line="240" w:lineRule="auto"/>
              <w:rPr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 xml:space="preserve">A </w:t>
            </w:r>
            <w:r>
              <w:rPr>
                <w:b/>
                <w:szCs w:val="20"/>
                <w:lang w:val="en-CA"/>
              </w:rPr>
              <w:t>capacity market participant</w:t>
            </w:r>
            <w:r>
              <w:rPr>
                <w:szCs w:val="20"/>
                <w:lang w:val="en-CA"/>
              </w:rPr>
              <w:t xml:space="preserve"> must, where the </w:t>
            </w:r>
            <w:r>
              <w:rPr>
                <w:b/>
                <w:szCs w:val="20"/>
                <w:lang w:val="en-CA"/>
              </w:rPr>
              <w:t>ISO</w:t>
            </w:r>
            <w:r>
              <w:rPr>
                <w:szCs w:val="20"/>
                <w:lang w:val="en-CA"/>
              </w:rPr>
              <w:t xml:space="preserve"> has determined under subsection 5(1) that the asset will not be able to achieve the milestone by the last </w:t>
            </w:r>
            <w:r w:rsidRPr="00EE68F6">
              <w:rPr>
                <w:b/>
                <w:szCs w:val="20"/>
                <w:lang w:val="en-CA"/>
              </w:rPr>
              <w:t>rebalancing auction</w:t>
            </w:r>
            <w:r>
              <w:rPr>
                <w:szCs w:val="20"/>
                <w:lang w:val="en-CA"/>
              </w:rPr>
              <w:t xml:space="preserve">, submit a </w:t>
            </w:r>
            <w:r w:rsidRPr="00807C40">
              <w:rPr>
                <w:b/>
                <w:szCs w:val="20"/>
                <w:lang w:val="en-CA"/>
              </w:rPr>
              <w:t>bid</w:t>
            </w:r>
            <w:r>
              <w:rPr>
                <w:szCs w:val="20"/>
                <w:lang w:val="en-CA"/>
              </w:rPr>
              <w:t xml:space="preserve"> in respect of the </w:t>
            </w:r>
            <w:r w:rsidRPr="002F27B5">
              <w:rPr>
                <w:b/>
                <w:szCs w:val="20"/>
                <w:lang w:val="en-CA"/>
              </w:rPr>
              <w:t>new capacity</w:t>
            </w:r>
            <w:r>
              <w:rPr>
                <w:szCs w:val="20"/>
                <w:lang w:val="en-CA"/>
              </w:rPr>
              <w:t xml:space="preserve"> of such asset in accordance with Section 206.4 of the </w:t>
            </w:r>
            <w:r>
              <w:rPr>
                <w:b/>
                <w:szCs w:val="20"/>
                <w:lang w:val="en-CA"/>
              </w:rPr>
              <w:t>ISO rules</w:t>
            </w:r>
            <w:r>
              <w:rPr>
                <w:szCs w:val="20"/>
                <w:lang w:val="en-CA"/>
              </w:rPr>
              <w:t xml:space="preserve">, </w:t>
            </w:r>
            <w:r>
              <w:rPr>
                <w:i/>
                <w:szCs w:val="20"/>
                <w:lang w:val="en-CA"/>
              </w:rPr>
              <w:t xml:space="preserve">Offers and Bids for the Capacity Market. </w:t>
            </w:r>
          </w:p>
        </w:tc>
        <w:tc>
          <w:tcPr>
            <w:tcW w:w="8279" w:type="dxa"/>
            <w:shd w:val="clear" w:color="auto" w:fill="auto"/>
          </w:tcPr>
          <w:p w:rsidR="005C0551" w:rsidRPr="00472D95" w:rsidRDefault="005C0551" w:rsidP="002940E4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41E" w:rsidRDefault="002E641E" w:rsidP="00752820">
      <w:pPr>
        <w:tabs>
          <w:tab w:val="left" w:pos="-720"/>
        </w:tabs>
        <w:ind w:left="-720"/>
        <w:rPr>
          <w:rFonts w:ascii="Arial" w:hAnsi="Arial" w:cs="Arial"/>
          <w:sz w:val="20"/>
          <w:szCs w:val="20"/>
        </w:rPr>
      </w:pPr>
    </w:p>
    <w:p w:rsidR="002E641E" w:rsidRDefault="002E6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  <w:r w:rsidRPr="002E641E">
        <w:rPr>
          <w:rFonts w:ascii="Arial" w:hAnsi="Arial" w:cs="Arial"/>
          <w:b/>
          <w:i/>
          <w:szCs w:val="20"/>
        </w:rPr>
        <w:lastRenderedPageBreak/>
        <w:t>Please provide your comments on the following (as set out in AUC Rule 017 s. 13(b-j)):</w:t>
      </w:r>
    </w:p>
    <w:p w:rsidR="002E641E" w:rsidRP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tbl>
      <w:tblPr>
        <w:tblW w:w="19044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0"/>
        <w:gridCol w:w="5580"/>
        <w:gridCol w:w="12544"/>
      </w:tblGrid>
      <w:tr w:rsidR="004620DF" w:rsidRPr="004620DF" w:rsidTr="00846017">
        <w:trPr>
          <w:cantSplit/>
          <w:tblHeader/>
        </w:trPr>
        <w:tc>
          <w:tcPr>
            <w:tcW w:w="920" w:type="dxa"/>
            <w:shd w:val="clear" w:color="auto" w:fill="365F91" w:themeFill="accent1" w:themeFillShade="BF"/>
          </w:tcPr>
          <w:p w:rsidR="002E641E" w:rsidRPr="004620DF" w:rsidRDefault="003D6F1C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  <w:r w:rsidR="002E641E"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#</w:t>
            </w:r>
          </w:p>
        </w:tc>
        <w:tc>
          <w:tcPr>
            <w:tcW w:w="5580" w:type="dxa"/>
            <w:shd w:val="clear" w:color="auto" w:fill="365F91" w:themeFill="accent1" w:themeFillShade="BF"/>
          </w:tcPr>
          <w:p w:rsidR="002E641E" w:rsidRPr="004620DF" w:rsidRDefault="002E641E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44" w:type="dxa"/>
            <w:shd w:val="clear" w:color="auto" w:fill="365F91" w:themeFill="accent1" w:themeFillShade="BF"/>
          </w:tcPr>
          <w:p w:rsidR="002E641E" w:rsidRPr="004620DF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705EE">
            <w:pPr>
              <w:keepNext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2E641E" w:rsidRPr="00752820" w:rsidRDefault="002E641E" w:rsidP="00721471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 w:rsidR="00E80B55">
              <w:rPr>
                <w:rFonts w:ascii="Arial" w:hAnsi="Arial" w:cs="Arial"/>
                <w:sz w:val="20"/>
                <w:szCs w:val="20"/>
              </w:rPr>
              <w:t>the p</w:t>
            </w:r>
            <w:r w:rsidR="00E80B55"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E80B55">
              <w:rPr>
                <w:rFonts w:ascii="Arial" w:hAnsi="Arial" w:cs="Arial"/>
                <w:sz w:val="20"/>
                <w:szCs w:val="20"/>
              </w:rPr>
              <w:t>n</w:t>
            </w:r>
            <w:r w:rsidR="00E80B55" w:rsidRPr="0046578C">
              <w:rPr>
                <w:rFonts w:ascii="Arial" w:hAnsi="Arial" w:cs="Arial"/>
                <w:sz w:val="20"/>
                <w:szCs w:val="20"/>
              </w:rPr>
              <w:t xml:space="preserve">ew ISO Rule – </w:t>
            </w:r>
            <w:r w:rsidR="00EF7973" w:rsidRPr="00EF7973">
              <w:rPr>
                <w:rFonts w:ascii="Arial" w:hAnsi="Arial" w:cs="Arial"/>
                <w:sz w:val="18"/>
                <w:szCs w:val="20"/>
              </w:rPr>
              <w:t xml:space="preserve">Section 206.5, </w:t>
            </w:r>
            <w:r w:rsidR="00EF7973" w:rsidRPr="00EF7973">
              <w:rPr>
                <w:rFonts w:ascii="Arial" w:hAnsi="Arial" w:cs="Arial"/>
                <w:i/>
                <w:sz w:val="18"/>
                <w:szCs w:val="20"/>
              </w:rPr>
              <w:t>Forward Period Milestone Assessment</w:t>
            </w:r>
            <w:r w:rsidR="00EF7973" w:rsidRPr="00EF7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relates to the capacity market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</w:t>
            </w:r>
            <w:r w:rsidR="00E80B55">
              <w:rPr>
                <w:rFonts w:ascii="Arial" w:hAnsi="Arial" w:cs="Arial"/>
                <w:sz w:val="20"/>
                <w:szCs w:val="20"/>
              </w:rPr>
              <w:t xml:space="preserve"> the p</w:t>
            </w:r>
            <w:r w:rsidR="00E80B55"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E80B55">
              <w:rPr>
                <w:rFonts w:ascii="Arial" w:hAnsi="Arial" w:cs="Arial"/>
                <w:sz w:val="20"/>
                <w:szCs w:val="20"/>
              </w:rPr>
              <w:t>n</w:t>
            </w:r>
            <w:r w:rsidR="00E80B55" w:rsidRPr="0046578C">
              <w:rPr>
                <w:rFonts w:ascii="Arial" w:hAnsi="Arial" w:cs="Arial"/>
                <w:sz w:val="20"/>
                <w:szCs w:val="20"/>
              </w:rPr>
              <w:t xml:space="preserve">ew ISO Rule – </w:t>
            </w:r>
            <w:r w:rsidR="00EF7973" w:rsidRPr="00EF7973">
              <w:rPr>
                <w:rFonts w:ascii="Arial" w:hAnsi="Arial" w:cs="Arial"/>
                <w:sz w:val="18"/>
                <w:szCs w:val="20"/>
              </w:rPr>
              <w:t xml:space="preserve">Section 206.5, </w:t>
            </w:r>
            <w:r w:rsidR="00EF7973" w:rsidRPr="00EF7973">
              <w:rPr>
                <w:rFonts w:ascii="Arial" w:hAnsi="Arial" w:cs="Arial"/>
                <w:i/>
                <w:sz w:val="18"/>
                <w:szCs w:val="20"/>
              </w:rPr>
              <w:t>Forward Period Milestone Assessment</w:t>
            </w:r>
            <w:r w:rsidR="00D411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should [or should not] be in effect for a fixed term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2E641E" w:rsidRPr="00752820" w:rsidRDefault="002E641E" w:rsidP="00D4117D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understand and agree with the objective or purpose of </w:t>
            </w:r>
            <w:r w:rsidR="00E80B55">
              <w:rPr>
                <w:rFonts w:ascii="Arial" w:hAnsi="Arial" w:cs="Arial"/>
                <w:sz w:val="20"/>
                <w:szCs w:val="20"/>
              </w:rPr>
              <w:t>the p</w:t>
            </w:r>
            <w:r w:rsidR="00E80B55"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E80B55">
              <w:rPr>
                <w:rFonts w:ascii="Arial" w:hAnsi="Arial" w:cs="Arial"/>
                <w:sz w:val="20"/>
                <w:szCs w:val="20"/>
              </w:rPr>
              <w:t>n</w:t>
            </w:r>
            <w:r w:rsidR="00E80B55" w:rsidRPr="0046578C">
              <w:rPr>
                <w:rFonts w:ascii="Arial" w:hAnsi="Arial" w:cs="Arial"/>
                <w:sz w:val="20"/>
                <w:szCs w:val="20"/>
              </w:rPr>
              <w:t xml:space="preserve">ew ISO Rule – </w:t>
            </w:r>
            <w:r w:rsidR="00EF7973" w:rsidRPr="00EF7973">
              <w:rPr>
                <w:rFonts w:ascii="Arial" w:hAnsi="Arial" w:cs="Arial"/>
                <w:sz w:val="18"/>
                <w:szCs w:val="20"/>
              </w:rPr>
              <w:t xml:space="preserve">Section 206.5, </w:t>
            </w:r>
            <w:r w:rsidR="00EF7973" w:rsidRPr="00EF7973">
              <w:rPr>
                <w:rFonts w:ascii="Arial" w:hAnsi="Arial" w:cs="Arial"/>
                <w:i/>
                <w:sz w:val="18"/>
                <w:szCs w:val="20"/>
              </w:rPr>
              <w:t>Forward Period Milestone Assessment</w:t>
            </w:r>
            <w:r w:rsidR="00721471" w:rsidRPr="0072147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 xml:space="preserve">and whether, in your view, </w:t>
            </w:r>
            <w:r w:rsidR="00E80B55">
              <w:rPr>
                <w:rFonts w:ascii="Arial" w:hAnsi="Arial" w:cs="Arial"/>
                <w:sz w:val="20"/>
                <w:szCs w:val="20"/>
              </w:rPr>
              <w:t>the p</w:t>
            </w:r>
            <w:r w:rsidR="00E80B55"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E80B55">
              <w:rPr>
                <w:rFonts w:ascii="Arial" w:hAnsi="Arial" w:cs="Arial"/>
                <w:sz w:val="20"/>
                <w:szCs w:val="20"/>
              </w:rPr>
              <w:t>n</w:t>
            </w:r>
            <w:r w:rsidR="00E80B55" w:rsidRPr="0046578C">
              <w:rPr>
                <w:rFonts w:ascii="Arial" w:hAnsi="Arial" w:cs="Arial"/>
                <w:sz w:val="20"/>
                <w:szCs w:val="20"/>
              </w:rPr>
              <w:t xml:space="preserve">ew ISO Rule – </w:t>
            </w:r>
            <w:r w:rsidR="00EF7973" w:rsidRPr="00EF7973">
              <w:rPr>
                <w:rFonts w:ascii="Arial" w:hAnsi="Arial" w:cs="Arial"/>
                <w:sz w:val="18"/>
                <w:szCs w:val="20"/>
              </w:rPr>
              <w:t xml:space="preserve">Section 206.5, </w:t>
            </w:r>
            <w:r w:rsidR="00EF7973" w:rsidRPr="00EF7973">
              <w:rPr>
                <w:rFonts w:ascii="Arial" w:hAnsi="Arial" w:cs="Arial"/>
                <w:i/>
                <w:sz w:val="18"/>
                <w:szCs w:val="20"/>
              </w:rPr>
              <w:t>Forward Period Milestone Assessment</w:t>
            </w:r>
            <w:r w:rsidR="00D411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meets the objective or purpose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how, in your view,</w:t>
            </w:r>
            <w:r w:rsidR="00E80B55">
              <w:rPr>
                <w:rFonts w:ascii="Arial" w:hAnsi="Arial" w:cs="Arial"/>
                <w:sz w:val="20"/>
                <w:szCs w:val="20"/>
              </w:rPr>
              <w:t xml:space="preserve"> the p</w:t>
            </w:r>
            <w:r w:rsidR="00E80B55"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E80B55">
              <w:rPr>
                <w:rFonts w:ascii="Arial" w:hAnsi="Arial" w:cs="Arial"/>
                <w:sz w:val="20"/>
                <w:szCs w:val="20"/>
              </w:rPr>
              <w:t>n</w:t>
            </w:r>
            <w:r w:rsidR="00E80B55" w:rsidRPr="0046578C">
              <w:rPr>
                <w:rFonts w:ascii="Arial" w:hAnsi="Arial" w:cs="Arial"/>
                <w:sz w:val="20"/>
                <w:szCs w:val="20"/>
              </w:rPr>
              <w:t xml:space="preserve">ew ISO Rule – </w:t>
            </w:r>
            <w:r w:rsidR="00EF7973" w:rsidRPr="00EF7973">
              <w:rPr>
                <w:rFonts w:ascii="Arial" w:hAnsi="Arial" w:cs="Arial"/>
                <w:sz w:val="18"/>
                <w:szCs w:val="20"/>
              </w:rPr>
              <w:t xml:space="preserve">Section 206.5, </w:t>
            </w:r>
            <w:r w:rsidR="00EF7973" w:rsidRPr="00EF7973">
              <w:rPr>
                <w:rFonts w:ascii="Arial" w:hAnsi="Arial" w:cs="Arial"/>
                <w:i/>
                <w:sz w:val="18"/>
                <w:szCs w:val="20"/>
              </w:rPr>
              <w:t>Forward Period Milestone Assessment</w:t>
            </w:r>
            <w:r w:rsidR="00D411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affects the performance of the capacity market and the electricity market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your views on any analysis conducted or commissioned by the AESO supporting </w:t>
            </w:r>
            <w:r w:rsidR="00E80B55">
              <w:rPr>
                <w:rFonts w:ascii="Arial" w:hAnsi="Arial" w:cs="Arial"/>
                <w:sz w:val="20"/>
                <w:szCs w:val="20"/>
              </w:rPr>
              <w:t>the p</w:t>
            </w:r>
            <w:r w:rsidR="00E80B55"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E80B55">
              <w:rPr>
                <w:rFonts w:ascii="Arial" w:hAnsi="Arial" w:cs="Arial"/>
                <w:sz w:val="20"/>
                <w:szCs w:val="20"/>
              </w:rPr>
              <w:t>n</w:t>
            </w:r>
            <w:r w:rsidR="00E80B55" w:rsidRPr="0046578C">
              <w:rPr>
                <w:rFonts w:ascii="Arial" w:hAnsi="Arial" w:cs="Arial"/>
                <w:sz w:val="20"/>
                <w:szCs w:val="20"/>
              </w:rPr>
              <w:t>ew ISO Rule –</w:t>
            </w:r>
            <w:r w:rsidR="00721471" w:rsidRPr="007214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7973" w:rsidRPr="00EF7973">
              <w:rPr>
                <w:rFonts w:ascii="Arial" w:hAnsi="Arial" w:cs="Arial"/>
                <w:sz w:val="18"/>
                <w:szCs w:val="20"/>
              </w:rPr>
              <w:t xml:space="preserve">Section 206.5, </w:t>
            </w:r>
            <w:r w:rsidR="00EF7973" w:rsidRPr="00EF7973">
              <w:rPr>
                <w:rFonts w:ascii="Arial" w:hAnsi="Arial" w:cs="Arial"/>
                <w:i/>
                <w:sz w:val="18"/>
                <w:szCs w:val="20"/>
              </w:rPr>
              <w:t>Forward Period Milestone Assessment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with</w:t>
            </w:r>
            <w:r w:rsidR="00E80B55">
              <w:rPr>
                <w:rFonts w:ascii="Arial" w:hAnsi="Arial" w:cs="Arial"/>
                <w:sz w:val="20"/>
                <w:szCs w:val="20"/>
              </w:rPr>
              <w:t xml:space="preserve"> the p</w:t>
            </w:r>
            <w:r w:rsidR="00E80B55"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E80B55">
              <w:rPr>
                <w:rFonts w:ascii="Arial" w:hAnsi="Arial" w:cs="Arial"/>
                <w:sz w:val="20"/>
                <w:szCs w:val="20"/>
              </w:rPr>
              <w:t>n</w:t>
            </w:r>
            <w:r w:rsidR="00E80B55" w:rsidRPr="0046578C">
              <w:rPr>
                <w:rFonts w:ascii="Arial" w:hAnsi="Arial" w:cs="Arial"/>
                <w:sz w:val="20"/>
                <w:szCs w:val="20"/>
              </w:rPr>
              <w:t xml:space="preserve">ew ISO Rule – </w:t>
            </w:r>
            <w:r w:rsidR="00EF7973" w:rsidRPr="00EF7973">
              <w:rPr>
                <w:rFonts w:ascii="Arial" w:hAnsi="Arial" w:cs="Arial"/>
                <w:sz w:val="18"/>
                <w:szCs w:val="20"/>
              </w:rPr>
              <w:t xml:space="preserve">Section 206.5, </w:t>
            </w:r>
            <w:r w:rsidR="00EF7973" w:rsidRPr="00EF7973">
              <w:rPr>
                <w:rFonts w:ascii="Arial" w:hAnsi="Arial" w:cs="Arial"/>
                <w:i/>
                <w:sz w:val="18"/>
                <w:szCs w:val="20"/>
              </w:rPr>
              <w:t>Forward Period Milestone Assessment</w:t>
            </w:r>
            <w:r w:rsidR="00D411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taken together with all ISO rules and in light of the principle of a fair, efficient and openly competitive market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would suggest any alternatives to </w:t>
            </w:r>
            <w:r w:rsidR="00E80B55">
              <w:rPr>
                <w:rFonts w:ascii="Arial" w:hAnsi="Arial" w:cs="Arial"/>
                <w:sz w:val="20"/>
                <w:szCs w:val="20"/>
              </w:rPr>
              <w:t>the p</w:t>
            </w:r>
            <w:r w:rsidR="00E80B55"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E80B55">
              <w:rPr>
                <w:rFonts w:ascii="Arial" w:hAnsi="Arial" w:cs="Arial"/>
                <w:sz w:val="20"/>
                <w:szCs w:val="20"/>
              </w:rPr>
              <w:t>n</w:t>
            </w:r>
            <w:r w:rsidR="00E80B55" w:rsidRPr="0046578C">
              <w:rPr>
                <w:rFonts w:ascii="Arial" w:hAnsi="Arial" w:cs="Arial"/>
                <w:sz w:val="20"/>
                <w:szCs w:val="20"/>
              </w:rPr>
              <w:t>ew ISO Rule –</w:t>
            </w:r>
            <w:r w:rsidR="00D4117D" w:rsidRPr="00D411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7973" w:rsidRPr="00EF7973">
              <w:rPr>
                <w:rFonts w:ascii="Arial" w:hAnsi="Arial" w:cs="Arial"/>
                <w:sz w:val="18"/>
                <w:szCs w:val="20"/>
              </w:rPr>
              <w:t xml:space="preserve">Section 206.5, </w:t>
            </w:r>
            <w:r w:rsidR="00EF7973" w:rsidRPr="00EF7973">
              <w:rPr>
                <w:rFonts w:ascii="Arial" w:hAnsi="Arial" w:cs="Arial"/>
                <w:i/>
                <w:sz w:val="18"/>
                <w:szCs w:val="20"/>
              </w:rPr>
              <w:t>Forward Period Milestone Assessment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ensuring a reliable supply of electricity at a reasonable cost to customers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the public interest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376" w:rsidRDefault="00E91376" w:rsidP="00D66D2F">
      <w:pPr>
        <w:widowControl w:val="0"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p w:rsidR="00E80B55" w:rsidRDefault="00E80B55">
      <w:pPr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br w:type="page"/>
      </w:r>
    </w:p>
    <w:p w:rsidR="00E91376" w:rsidRPr="00E91376" w:rsidRDefault="00E91376" w:rsidP="00E91376">
      <w:pPr>
        <w:ind w:left="-720"/>
        <w:rPr>
          <w:rFonts w:ascii="Arial" w:hAnsi="Arial" w:cs="Arial"/>
          <w:b/>
          <w:i/>
          <w:szCs w:val="20"/>
        </w:rPr>
      </w:pPr>
      <w:r w:rsidRPr="00E91376">
        <w:rPr>
          <w:rFonts w:ascii="Arial" w:hAnsi="Arial" w:cs="Arial"/>
          <w:b/>
          <w:i/>
          <w:szCs w:val="20"/>
        </w:rPr>
        <w:lastRenderedPageBreak/>
        <w:t>Please provide your views on the type of content that should be included in an information document associated with</w:t>
      </w:r>
      <w:r w:rsidR="00E80B55" w:rsidRPr="00E80B55">
        <w:t xml:space="preserve"> </w:t>
      </w:r>
      <w:r w:rsidR="00E80B55" w:rsidRPr="00E80B55">
        <w:rPr>
          <w:rFonts w:ascii="Arial" w:hAnsi="Arial" w:cs="Arial"/>
          <w:b/>
          <w:i/>
          <w:szCs w:val="20"/>
        </w:rPr>
        <w:t xml:space="preserve">the proposed new ISO Rule – </w:t>
      </w:r>
      <w:r w:rsidR="00EF7973" w:rsidRPr="00EF7973">
        <w:rPr>
          <w:rFonts w:ascii="Arial" w:hAnsi="Arial" w:cs="Arial"/>
          <w:b/>
          <w:i/>
          <w:szCs w:val="20"/>
        </w:rPr>
        <w:t>Section 206.5, Forward Period Milestone Assessment</w:t>
      </w:r>
      <w:bookmarkStart w:id="4" w:name="_GoBack"/>
      <w:bookmarkEnd w:id="4"/>
      <w:r w:rsidR="00721471">
        <w:rPr>
          <w:rFonts w:ascii="Arial" w:hAnsi="Arial" w:cs="Arial"/>
          <w:b/>
          <w:i/>
          <w:szCs w:val="20"/>
        </w:rPr>
        <w:t>.</w:t>
      </w:r>
    </w:p>
    <w:tbl>
      <w:tblPr>
        <w:tblW w:w="19053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053"/>
      </w:tblGrid>
      <w:tr w:rsidR="00E91376" w:rsidRPr="002E641E" w:rsidTr="00533CF6">
        <w:trPr>
          <w:cantSplit/>
          <w:trHeight w:val="6344"/>
        </w:trPr>
        <w:tc>
          <w:tcPr>
            <w:tcW w:w="19053" w:type="dxa"/>
            <w:shd w:val="clear" w:color="auto" w:fill="auto"/>
          </w:tcPr>
          <w:p w:rsidR="00E91376" w:rsidRPr="00752820" w:rsidRDefault="00E91376" w:rsidP="00E91376">
            <w:pPr>
              <w:widowControl w:val="0"/>
              <w:spacing w:before="120" w:after="120"/>
              <w:ind w:right="15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41E" w:rsidRPr="00BC502D" w:rsidRDefault="002E641E" w:rsidP="002E641E">
      <w:pPr>
        <w:tabs>
          <w:tab w:val="left" w:pos="-720"/>
        </w:tabs>
        <w:ind w:left="-720"/>
        <w:rPr>
          <w:rFonts w:ascii="Arial" w:hAnsi="Arial" w:cs="Arial"/>
          <w:sz w:val="20"/>
          <w:szCs w:val="20"/>
        </w:rPr>
      </w:pPr>
    </w:p>
    <w:sectPr w:rsidR="002E641E" w:rsidRPr="00BC502D" w:rsidSect="00B7521E">
      <w:headerReference w:type="default" r:id="rId10"/>
      <w:footerReference w:type="default" r:id="rId11"/>
      <w:headerReference w:type="first" r:id="rId12"/>
      <w:footerReference w:type="first" r:id="rId13"/>
      <w:pgSz w:w="20160" w:h="12240" w:orient="landscape" w:code="5"/>
      <w:pgMar w:top="1890" w:right="45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EB" w:rsidRDefault="00D362EB" w:rsidP="00E77EC5">
      <w:r>
        <w:separator/>
      </w:r>
    </w:p>
  </w:endnote>
  <w:endnote w:type="continuationSeparator" w:id="0">
    <w:p w:rsidR="00D362EB" w:rsidRDefault="00D362EB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F47F5E" w:rsidP="00921B61">
    <w:pPr>
      <w:pStyle w:val="Footer"/>
      <w:tabs>
        <w:tab w:val="clear" w:pos="4320"/>
        <w:tab w:val="center" w:pos="8640"/>
        <w:tab w:val="right" w:pos="17280"/>
      </w:tabs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>
      <w:rPr>
        <w:rFonts w:ascii="Arial" w:hAnsi="Arial" w:cs="Arial"/>
        <w:sz w:val="18"/>
        <w:szCs w:val="18"/>
      </w:rPr>
      <w:t>Stakehold</w:t>
    </w:r>
    <w:r w:rsidRPr="00752820">
      <w:rPr>
        <w:rFonts w:ascii="Arial" w:hAnsi="Arial" w:cs="Arial"/>
        <w:sz w:val="18"/>
        <w:szCs w:val="18"/>
      </w:rPr>
      <w:t xml:space="preserve">er Comment: </w:t>
    </w:r>
    <w:r w:rsidR="00E80B55">
      <w:rPr>
        <w:rFonts w:ascii="Arial" w:hAnsi="Arial" w:cs="Arial"/>
        <w:sz w:val="18"/>
        <w:szCs w:val="18"/>
      </w:rPr>
      <w:t>September 7</w:t>
    </w:r>
    <w:r w:rsidR="001B3616">
      <w:rPr>
        <w:rFonts w:ascii="Arial" w:hAnsi="Arial" w:cs="Arial"/>
        <w:sz w:val="18"/>
        <w:szCs w:val="18"/>
      </w:rPr>
      <w:t>,</w:t>
    </w:r>
    <w:r w:rsidRPr="00752820">
      <w:rPr>
        <w:rFonts w:ascii="Arial" w:hAnsi="Arial" w:cs="Arial"/>
        <w:sz w:val="18"/>
        <w:szCs w:val="18"/>
      </w:rPr>
      <w:t xml:space="preserve"> 2018</w:t>
    </w:r>
    <w:r w:rsidR="002755AE" w:rsidRPr="00BC502D">
      <w:rPr>
        <w:rFonts w:ascii="Arial" w:hAnsi="Arial" w:cs="Arial"/>
        <w:sz w:val="18"/>
        <w:szCs w:val="18"/>
      </w:rPr>
      <w:tab/>
      <w:t xml:space="preserve">Page </w:t>
    </w:r>
    <w:r w:rsidR="002755AE" w:rsidRPr="00BC502D">
      <w:rPr>
        <w:rFonts w:ascii="Arial" w:hAnsi="Arial" w:cs="Arial"/>
        <w:sz w:val="18"/>
        <w:szCs w:val="18"/>
      </w:rPr>
      <w:fldChar w:fldCharType="begin"/>
    </w:r>
    <w:r w:rsidR="002755AE" w:rsidRPr="00BC502D">
      <w:rPr>
        <w:rFonts w:ascii="Arial" w:hAnsi="Arial" w:cs="Arial"/>
        <w:sz w:val="18"/>
        <w:szCs w:val="18"/>
      </w:rPr>
      <w:instrText xml:space="preserve"> PAGE </w:instrText>
    </w:r>
    <w:r w:rsidR="002755AE" w:rsidRPr="00BC502D">
      <w:rPr>
        <w:rFonts w:ascii="Arial" w:hAnsi="Arial" w:cs="Arial"/>
        <w:sz w:val="18"/>
        <w:szCs w:val="18"/>
      </w:rPr>
      <w:fldChar w:fldCharType="separate"/>
    </w:r>
    <w:r w:rsidR="00EF7973">
      <w:rPr>
        <w:rFonts w:ascii="Arial" w:hAnsi="Arial" w:cs="Arial"/>
        <w:noProof/>
        <w:sz w:val="18"/>
        <w:szCs w:val="18"/>
      </w:rPr>
      <w:t>6</w:t>
    </w:r>
    <w:r w:rsidR="002755AE" w:rsidRPr="00BC502D">
      <w:rPr>
        <w:rFonts w:ascii="Arial" w:hAnsi="Arial" w:cs="Arial"/>
        <w:sz w:val="18"/>
        <w:szCs w:val="18"/>
      </w:rPr>
      <w:fldChar w:fldCharType="end"/>
    </w:r>
    <w:r w:rsidR="002755AE" w:rsidRPr="00BC502D">
      <w:rPr>
        <w:rFonts w:ascii="Arial" w:hAnsi="Arial" w:cs="Arial"/>
        <w:sz w:val="18"/>
        <w:szCs w:val="18"/>
      </w:rPr>
      <w:t xml:space="preserve"> of </w:t>
    </w:r>
    <w:r w:rsidR="002755AE" w:rsidRPr="00BC502D">
      <w:rPr>
        <w:rFonts w:ascii="Arial" w:hAnsi="Arial" w:cs="Arial"/>
        <w:sz w:val="18"/>
        <w:szCs w:val="18"/>
      </w:rPr>
      <w:fldChar w:fldCharType="begin"/>
    </w:r>
    <w:r w:rsidR="002755AE" w:rsidRPr="00BC502D">
      <w:rPr>
        <w:rFonts w:ascii="Arial" w:hAnsi="Arial" w:cs="Arial"/>
        <w:sz w:val="18"/>
        <w:szCs w:val="18"/>
      </w:rPr>
      <w:instrText xml:space="preserve"> NUMPAGES </w:instrText>
    </w:r>
    <w:r w:rsidR="002755AE" w:rsidRPr="00BC502D">
      <w:rPr>
        <w:rFonts w:ascii="Arial" w:hAnsi="Arial" w:cs="Arial"/>
        <w:sz w:val="18"/>
        <w:szCs w:val="18"/>
      </w:rPr>
      <w:fldChar w:fldCharType="separate"/>
    </w:r>
    <w:r w:rsidR="00EF7973">
      <w:rPr>
        <w:rFonts w:ascii="Arial" w:hAnsi="Arial" w:cs="Arial"/>
        <w:noProof/>
        <w:sz w:val="18"/>
        <w:szCs w:val="18"/>
      </w:rPr>
      <w:t>6</w:t>
    </w:r>
    <w:r w:rsidR="002755AE"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  <w:p w:rsidR="00E80B55" w:rsidRPr="00E80B55" w:rsidRDefault="00E80B55" w:rsidP="00921B61">
    <w:pPr>
      <w:pStyle w:val="Footer"/>
      <w:tabs>
        <w:tab w:val="clear" w:pos="4320"/>
        <w:tab w:val="center" w:pos="8640"/>
        <w:tab w:val="right" w:pos="17280"/>
      </w:tabs>
      <w:rPr>
        <w:rFonts w:ascii="Arial" w:hAnsi="Arial" w:cs="Arial"/>
        <w:b/>
        <w:sz w:val="16"/>
        <w:szCs w:val="18"/>
      </w:rPr>
    </w:pPr>
    <w:r w:rsidRPr="00E80B55">
      <w:rPr>
        <w:rFonts w:ascii="Arial" w:hAnsi="Arial" w:cs="Arial"/>
        <w:b/>
        <w:sz w:val="18"/>
        <w:szCs w:val="20"/>
      </w:rPr>
      <w:t xml:space="preserve">Proposed </w:t>
    </w:r>
    <w:r w:rsidR="007A6BFA">
      <w:rPr>
        <w:rFonts w:ascii="Arial" w:hAnsi="Arial" w:cs="Arial"/>
        <w:b/>
        <w:sz w:val="18"/>
        <w:szCs w:val="20"/>
      </w:rPr>
      <w:t>n</w:t>
    </w:r>
    <w:r w:rsidRPr="00E80B55">
      <w:rPr>
        <w:rFonts w:ascii="Arial" w:hAnsi="Arial" w:cs="Arial"/>
        <w:b/>
        <w:sz w:val="18"/>
        <w:szCs w:val="20"/>
      </w:rPr>
      <w:t xml:space="preserve">ew ISO Rule – </w:t>
    </w:r>
    <w:r w:rsidR="00721471" w:rsidRPr="00721471">
      <w:rPr>
        <w:rFonts w:ascii="Arial" w:hAnsi="Arial" w:cs="Arial"/>
        <w:b/>
        <w:sz w:val="18"/>
        <w:szCs w:val="20"/>
      </w:rPr>
      <w:t>Section 20</w:t>
    </w:r>
    <w:r w:rsidR="00EF7973">
      <w:rPr>
        <w:rFonts w:ascii="Arial" w:hAnsi="Arial" w:cs="Arial"/>
        <w:b/>
        <w:sz w:val="18"/>
        <w:szCs w:val="20"/>
      </w:rPr>
      <w:t>6.5</w:t>
    </w:r>
    <w:r w:rsidR="00721471">
      <w:rPr>
        <w:rFonts w:ascii="Arial" w:hAnsi="Arial" w:cs="Arial"/>
        <w:b/>
        <w:sz w:val="18"/>
        <w:szCs w:val="20"/>
      </w:rPr>
      <w:t xml:space="preserve">, </w:t>
    </w:r>
    <w:r w:rsidR="00EF7973">
      <w:rPr>
        <w:rFonts w:ascii="Arial" w:hAnsi="Arial" w:cs="Arial"/>
        <w:b/>
        <w:i/>
        <w:sz w:val="18"/>
        <w:szCs w:val="20"/>
      </w:rPr>
      <w:t>Forward Period Milestone Assessment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755AE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>Stakehold</w:t>
    </w:r>
    <w:r w:rsidR="00965834" w:rsidRPr="00752820">
      <w:rPr>
        <w:rFonts w:ascii="Arial" w:hAnsi="Arial" w:cs="Arial"/>
        <w:sz w:val="18"/>
        <w:szCs w:val="18"/>
      </w:rPr>
      <w:t xml:space="preserve">er </w:t>
    </w:r>
    <w:r w:rsidR="003528B4" w:rsidRPr="00752820">
      <w:rPr>
        <w:rFonts w:ascii="Arial" w:hAnsi="Arial" w:cs="Arial"/>
        <w:sz w:val="18"/>
        <w:szCs w:val="18"/>
      </w:rPr>
      <w:t>Comment</w:t>
    </w:r>
    <w:r w:rsidRPr="00752820">
      <w:rPr>
        <w:rFonts w:ascii="Arial" w:hAnsi="Arial" w:cs="Arial"/>
        <w:sz w:val="18"/>
        <w:szCs w:val="18"/>
      </w:rPr>
      <w:t xml:space="preserve">: </w:t>
    </w:r>
    <w:r w:rsidR="001B3616">
      <w:rPr>
        <w:rFonts w:ascii="Arial" w:hAnsi="Arial" w:cs="Arial"/>
        <w:sz w:val="18"/>
        <w:szCs w:val="18"/>
      </w:rPr>
      <w:t>September 7</w:t>
    </w:r>
    <w:r w:rsidR="00752820" w:rsidRPr="00752820">
      <w:rPr>
        <w:rFonts w:ascii="Arial" w:hAnsi="Arial" w:cs="Arial"/>
        <w:sz w:val="18"/>
        <w:szCs w:val="18"/>
      </w:rPr>
      <w:t>, 2018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EF7973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EF7973">
      <w:rPr>
        <w:rFonts w:ascii="Arial" w:hAnsi="Arial" w:cs="Arial"/>
        <w:noProof/>
        <w:sz w:val="18"/>
        <w:szCs w:val="18"/>
      </w:rPr>
      <w:t>6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  <w:p w:rsidR="00091699" w:rsidRPr="00BC502D" w:rsidRDefault="00091699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EB" w:rsidRDefault="00D362EB" w:rsidP="00E77EC5">
      <w:r>
        <w:separator/>
      </w:r>
    </w:p>
  </w:footnote>
  <w:footnote w:type="continuationSeparator" w:id="0">
    <w:p w:rsidR="00D362EB" w:rsidRDefault="00D362EB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22773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0" allowOverlap="1" wp14:anchorId="46F8906A" wp14:editId="48C8FE7C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5AE" w:rsidRDefault="002755AE" w:rsidP="00BD7A7B">
    <w:pPr>
      <w:pStyle w:val="Header"/>
      <w:jc w:val="right"/>
    </w:pPr>
  </w:p>
  <w:p w:rsidR="002755AE" w:rsidRDefault="002755AE" w:rsidP="00BD7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8562CE" w:rsidRDefault="00965834" w:rsidP="00572B57">
    <w:pPr>
      <w:keepNext/>
      <w:ind w:left="-630"/>
      <w:rPr>
        <w:rFonts w:ascii="Arial" w:hAnsi="Arial" w:cs="Arial"/>
        <w:b/>
        <w:color w:val="FFFFFF" w:themeColor="background1"/>
        <w:sz w:val="28"/>
        <w:szCs w:val="20"/>
        <w:u w:val="single"/>
      </w:rPr>
    </w:pPr>
    <w:r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Stakeholder </w:t>
    </w:r>
    <w:r w:rsidR="002755AE"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Comment </w:t>
    </w:r>
    <w:r w:rsidR="00180BF7" w:rsidRPr="001B78E4">
      <w:rPr>
        <w:rFonts w:ascii="Arial" w:hAnsi="Arial" w:cs="Arial"/>
        <w:b/>
        <w:color w:val="FFFFFF"/>
        <w:sz w:val="28"/>
        <w:szCs w:val="20"/>
        <w:u w:val="single"/>
      </w:rPr>
      <w:t>Matrix</w:t>
    </w:r>
    <w:r w:rsidR="00385898"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 –</w:t>
    </w:r>
    <w:r w:rsidR="00385898" w:rsidRPr="004B7957">
      <w:rPr>
        <w:rFonts w:ascii="Arial" w:hAnsi="Arial" w:cs="Arial"/>
        <w:b/>
        <w:color w:val="FFFF00"/>
        <w:sz w:val="28"/>
        <w:szCs w:val="20"/>
        <w:u w:val="single"/>
      </w:rPr>
      <w:t xml:space="preserve"> </w:t>
    </w:r>
    <w:r w:rsidR="00665586">
      <w:rPr>
        <w:rFonts w:ascii="Arial" w:hAnsi="Arial" w:cs="Arial"/>
        <w:b/>
        <w:color w:val="FFFFFF" w:themeColor="background1"/>
        <w:sz w:val="28"/>
        <w:szCs w:val="20"/>
        <w:u w:val="single"/>
      </w:rPr>
      <w:t>September 7, 2018</w:t>
    </w:r>
  </w:p>
  <w:p w:rsidR="002755AE" w:rsidRPr="001B78E4" w:rsidRDefault="002755AE" w:rsidP="00375707">
    <w:pPr>
      <w:keepNext/>
      <w:rPr>
        <w:rFonts w:ascii="Arial" w:hAnsi="Arial" w:cs="Arial"/>
        <w:b/>
        <w:color w:val="FFFFFF"/>
        <w:sz w:val="28"/>
        <w:szCs w:val="20"/>
      </w:rPr>
    </w:pPr>
  </w:p>
  <w:p w:rsidR="005C0551" w:rsidRPr="005C0551" w:rsidRDefault="00B717CF" w:rsidP="005C0551">
    <w:pPr>
      <w:pStyle w:val="Header"/>
      <w:ind w:left="-630"/>
      <w:rPr>
        <w:rFonts w:ascii="Arial" w:hAnsi="Arial" w:cs="Arial"/>
        <w:b/>
        <w:color w:val="FFFFFF" w:themeColor="background1"/>
        <w:sz w:val="28"/>
        <w:szCs w:val="20"/>
      </w:rPr>
    </w:pPr>
    <w:r w:rsidRPr="001B78E4">
      <w:rPr>
        <w:rFonts w:ascii="Arial" w:hAnsi="Arial" w:cs="Arial"/>
        <w:b/>
        <w:color w:val="FFFFFF"/>
        <w:sz w:val="28"/>
        <w:szCs w:val="20"/>
      </w:rPr>
      <w:t>Pr</w:t>
    </w:r>
    <w:r w:rsidRPr="001B78E4">
      <w:rPr>
        <w:rFonts w:ascii="Arial" w:hAnsi="Arial" w:cs="Arial"/>
        <w:b/>
        <w:color w:val="FFFFFF" w:themeColor="background1"/>
        <w:sz w:val="28"/>
        <w:szCs w:val="20"/>
      </w:rPr>
      <w:t>oposed New ISO rule</w:t>
    </w:r>
    <w:r w:rsidR="00974AB0"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4B091D">
      <w:rPr>
        <w:rFonts w:ascii="Arial" w:hAnsi="Arial" w:cs="Arial"/>
        <w:b/>
        <w:color w:val="FFFFFF" w:themeColor="background1"/>
        <w:sz w:val="28"/>
        <w:szCs w:val="20"/>
      </w:rPr>
      <w:t>–</w:t>
    </w:r>
    <w:r w:rsidR="004B7957" w:rsidRPr="008562CE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5C0551" w:rsidRPr="005C0551">
      <w:rPr>
        <w:rFonts w:ascii="Arial" w:hAnsi="Arial" w:cs="Arial"/>
        <w:b/>
        <w:color w:val="FFFFFF" w:themeColor="background1"/>
        <w:sz w:val="28"/>
        <w:szCs w:val="20"/>
        <w:lang w:val="en-CA"/>
      </w:rPr>
      <w:t>Section 206.5</w:t>
    </w:r>
    <w:r w:rsidR="005C0551">
      <w:rPr>
        <w:rFonts w:ascii="Arial" w:hAnsi="Arial" w:cs="Arial"/>
        <w:b/>
        <w:color w:val="FFFFFF" w:themeColor="background1"/>
        <w:sz w:val="28"/>
        <w:szCs w:val="20"/>
        <w:lang w:val="en-CA"/>
      </w:rPr>
      <w:t>,</w:t>
    </w:r>
    <w:r w:rsidR="005C0551" w:rsidRPr="005C0551">
      <w:rPr>
        <w:rFonts w:ascii="Arial" w:hAnsi="Arial" w:cs="Arial"/>
        <w:b/>
        <w:color w:val="FFFFFF" w:themeColor="background1"/>
        <w:sz w:val="28"/>
        <w:szCs w:val="20"/>
        <w:lang w:val="en-CA"/>
      </w:rPr>
      <w:t xml:space="preserve"> </w:t>
    </w:r>
    <w:r w:rsidR="005C0551" w:rsidRPr="005C0551">
      <w:rPr>
        <w:rFonts w:ascii="Arial" w:hAnsi="Arial" w:cs="Arial"/>
        <w:b/>
        <w:i/>
        <w:color w:val="FFFFFF" w:themeColor="background1"/>
        <w:sz w:val="28"/>
        <w:szCs w:val="20"/>
        <w:lang w:val="en-CA"/>
      </w:rPr>
      <w:t>Forward Period Milestone Assessment</w:t>
    </w:r>
  </w:p>
  <w:p w:rsidR="00133EF6" w:rsidRPr="00D4117D" w:rsidRDefault="00133EF6" w:rsidP="00D4117D">
    <w:pPr>
      <w:pStyle w:val="Header"/>
      <w:ind w:left="-630"/>
      <w:rPr>
        <w:rFonts w:ascii="Arial" w:hAnsi="Arial" w:cs="Arial"/>
        <w:b/>
        <w:color w:val="FFFFFF" w:themeColor="background1"/>
        <w:sz w:val="28"/>
        <w:szCs w:val="20"/>
      </w:rPr>
    </w:pPr>
  </w:p>
  <w:p w:rsidR="0061591A" w:rsidRDefault="0061591A">
    <w:pPr>
      <w:pStyle w:val="Header"/>
    </w:pPr>
  </w:p>
  <w:p w:rsidR="002755AE" w:rsidRDefault="00222773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0" allowOverlap="1" wp14:anchorId="1892DC58" wp14:editId="551BCDCC">
          <wp:simplePos x="0" y="0"/>
          <wp:positionH relativeFrom="page">
            <wp:posOffset>-14605</wp:posOffset>
          </wp:positionH>
          <wp:positionV relativeFrom="page">
            <wp:posOffset>-222885</wp:posOffset>
          </wp:positionV>
          <wp:extent cx="12890500" cy="2318385"/>
          <wp:effectExtent l="0" t="0" r="6350" b="5715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0" cy="231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2112E"/>
    <w:multiLevelType w:val="multilevel"/>
    <w:tmpl w:val="4648B490"/>
    <w:lvl w:ilvl="0">
      <w:start w:val="1"/>
      <w:numFmt w:val="decimal"/>
      <w:pStyle w:val="Heading1"/>
      <w:lvlText w:val="%1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27"/>
        </w:tabs>
        <w:ind w:left="1627" w:hanging="720"/>
      </w:pPr>
      <w:rPr>
        <w:rFonts w:hint="default"/>
        <w:color w:val="00407A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6"/>
        </w:tabs>
        <w:ind w:left="417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3240"/>
      </w:pPr>
      <w:rPr>
        <w:rFonts w:hint="default"/>
      </w:rPr>
    </w:lvl>
  </w:abstractNum>
  <w:abstractNum w:abstractNumId="2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30A44"/>
    <w:multiLevelType w:val="multilevel"/>
    <w:tmpl w:val="646E4452"/>
    <w:lvl w:ilvl="0">
      <w:start w:val="1"/>
      <w:numFmt w:val="bullet"/>
      <w:pStyle w:val="Bullet1"/>
      <w:lvlText w:val="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>
      <w:start w:val="1"/>
      <w:numFmt w:val="bullet"/>
      <w:pStyle w:val="Bullet2"/>
      <w:lvlText w:val="-"/>
      <w:lvlJc w:val="left"/>
      <w:pPr>
        <w:tabs>
          <w:tab w:val="num" w:pos="576"/>
        </w:tabs>
        <w:ind w:left="576" w:hanging="288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5374462A"/>
    <w:multiLevelType w:val="hybridMultilevel"/>
    <w:tmpl w:val="E020C796"/>
    <w:lvl w:ilvl="0" w:tplc="62C6DE4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4"/>
  </w:num>
  <w:num w:numId="5">
    <w:abstractNumId w:val="12"/>
  </w:num>
  <w:num w:numId="6">
    <w:abstractNumId w:val="17"/>
  </w:num>
  <w:num w:numId="7">
    <w:abstractNumId w:val="16"/>
  </w:num>
  <w:num w:numId="8">
    <w:abstractNumId w:val="0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9"/>
  </w:num>
  <w:num w:numId="14">
    <w:abstractNumId w:val="7"/>
  </w:num>
  <w:num w:numId="15">
    <w:abstractNumId w:val="5"/>
  </w:num>
  <w:num w:numId="16">
    <w:abstractNumId w:val="18"/>
  </w:num>
  <w:num w:numId="17">
    <w:abstractNumId w:val="1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979"/>
    <w:rsid w:val="0001462A"/>
    <w:rsid w:val="000150CE"/>
    <w:rsid w:val="00021BAD"/>
    <w:rsid w:val="00022178"/>
    <w:rsid w:val="00024916"/>
    <w:rsid w:val="000256BC"/>
    <w:rsid w:val="0002746D"/>
    <w:rsid w:val="00030647"/>
    <w:rsid w:val="0003064B"/>
    <w:rsid w:val="00032018"/>
    <w:rsid w:val="00042FA3"/>
    <w:rsid w:val="00045B0D"/>
    <w:rsid w:val="00047A85"/>
    <w:rsid w:val="00057762"/>
    <w:rsid w:val="00057AC9"/>
    <w:rsid w:val="00057B10"/>
    <w:rsid w:val="00071469"/>
    <w:rsid w:val="0007208F"/>
    <w:rsid w:val="00074616"/>
    <w:rsid w:val="00081C84"/>
    <w:rsid w:val="00091699"/>
    <w:rsid w:val="00091BE3"/>
    <w:rsid w:val="00092E04"/>
    <w:rsid w:val="00097373"/>
    <w:rsid w:val="000A4030"/>
    <w:rsid w:val="000A63F1"/>
    <w:rsid w:val="000A7B76"/>
    <w:rsid w:val="000B0937"/>
    <w:rsid w:val="000B547A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10799"/>
    <w:rsid w:val="00115830"/>
    <w:rsid w:val="001229E8"/>
    <w:rsid w:val="00122F3A"/>
    <w:rsid w:val="00123E16"/>
    <w:rsid w:val="00132D00"/>
    <w:rsid w:val="00133EF6"/>
    <w:rsid w:val="00137536"/>
    <w:rsid w:val="00147FEF"/>
    <w:rsid w:val="00160738"/>
    <w:rsid w:val="001631F0"/>
    <w:rsid w:val="00164E6F"/>
    <w:rsid w:val="001724F8"/>
    <w:rsid w:val="00180BF7"/>
    <w:rsid w:val="00180F37"/>
    <w:rsid w:val="00183D00"/>
    <w:rsid w:val="00185DC3"/>
    <w:rsid w:val="00190831"/>
    <w:rsid w:val="00191574"/>
    <w:rsid w:val="001A566B"/>
    <w:rsid w:val="001B3616"/>
    <w:rsid w:val="001B78E4"/>
    <w:rsid w:val="001C5D7B"/>
    <w:rsid w:val="001D19BC"/>
    <w:rsid w:val="001E00DD"/>
    <w:rsid w:val="001E67AD"/>
    <w:rsid w:val="001E6EC9"/>
    <w:rsid w:val="001F291A"/>
    <w:rsid w:val="00203333"/>
    <w:rsid w:val="00205264"/>
    <w:rsid w:val="00210553"/>
    <w:rsid w:val="002115D1"/>
    <w:rsid w:val="00211A16"/>
    <w:rsid w:val="002160D5"/>
    <w:rsid w:val="002221BD"/>
    <w:rsid w:val="00222773"/>
    <w:rsid w:val="00232B12"/>
    <w:rsid w:val="00232EE9"/>
    <w:rsid w:val="002358D2"/>
    <w:rsid w:val="002576EB"/>
    <w:rsid w:val="00262462"/>
    <w:rsid w:val="00264D21"/>
    <w:rsid w:val="002659AF"/>
    <w:rsid w:val="002678DD"/>
    <w:rsid w:val="00273ACB"/>
    <w:rsid w:val="002755AE"/>
    <w:rsid w:val="0028120F"/>
    <w:rsid w:val="002830E0"/>
    <w:rsid w:val="0028350D"/>
    <w:rsid w:val="002840B2"/>
    <w:rsid w:val="002940E4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D5EE7"/>
    <w:rsid w:val="002E641E"/>
    <w:rsid w:val="002E670E"/>
    <w:rsid w:val="002F6E69"/>
    <w:rsid w:val="002F7225"/>
    <w:rsid w:val="002F7CB0"/>
    <w:rsid w:val="0030108A"/>
    <w:rsid w:val="0030154F"/>
    <w:rsid w:val="0031543C"/>
    <w:rsid w:val="003302A7"/>
    <w:rsid w:val="00331F07"/>
    <w:rsid w:val="00333C05"/>
    <w:rsid w:val="00334FDA"/>
    <w:rsid w:val="00344963"/>
    <w:rsid w:val="00345614"/>
    <w:rsid w:val="00347CEC"/>
    <w:rsid w:val="00351C46"/>
    <w:rsid w:val="003528B4"/>
    <w:rsid w:val="00357C83"/>
    <w:rsid w:val="00364862"/>
    <w:rsid w:val="00372585"/>
    <w:rsid w:val="00375707"/>
    <w:rsid w:val="0038111B"/>
    <w:rsid w:val="003830C9"/>
    <w:rsid w:val="0038533C"/>
    <w:rsid w:val="00385898"/>
    <w:rsid w:val="00387F74"/>
    <w:rsid w:val="00396ECA"/>
    <w:rsid w:val="003A0E02"/>
    <w:rsid w:val="003A7F6C"/>
    <w:rsid w:val="003B32BE"/>
    <w:rsid w:val="003B3DA1"/>
    <w:rsid w:val="003B52BA"/>
    <w:rsid w:val="003C09F9"/>
    <w:rsid w:val="003C0BBF"/>
    <w:rsid w:val="003C0E32"/>
    <w:rsid w:val="003C119D"/>
    <w:rsid w:val="003C21B3"/>
    <w:rsid w:val="003C2443"/>
    <w:rsid w:val="003D600A"/>
    <w:rsid w:val="003D6F1C"/>
    <w:rsid w:val="003E5F08"/>
    <w:rsid w:val="003E656F"/>
    <w:rsid w:val="003F4AF6"/>
    <w:rsid w:val="00404023"/>
    <w:rsid w:val="00404A87"/>
    <w:rsid w:val="004058BC"/>
    <w:rsid w:val="00407688"/>
    <w:rsid w:val="00420437"/>
    <w:rsid w:val="004214BB"/>
    <w:rsid w:val="00426FF0"/>
    <w:rsid w:val="00430387"/>
    <w:rsid w:val="00433B5B"/>
    <w:rsid w:val="00444A72"/>
    <w:rsid w:val="00447116"/>
    <w:rsid w:val="004562D8"/>
    <w:rsid w:val="00461454"/>
    <w:rsid w:val="004620DF"/>
    <w:rsid w:val="00471FF7"/>
    <w:rsid w:val="00472D95"/>
    <w:rsid w:val="00481472"/>
    <w:rsid w:val="00487638"/>
    <w:rsid w:val="00491AB2"/>
    <w:rsid w:val="0049268A"/>
    <w:rsid w:val="00493CF2"/>
    <w:rsid w:val="004960CB"/>
    <w:rsid w:val="004A5115"/>
    <w:rsid w:val="004B091D"/>
    <w:rsid w:val="004B336C"/>
    <w:rsid w:val="004B4914"/>
    <w:rsid w:val="004B7957"/>
    <w:rsid w:val="004C1E5F"/>
    <w:rsid w:val="004C650B"/>
    <w:rsid w:val="004D0BCE"/>
    <w:rsid w:val="004D31C9"/>
    <w:rsid w:val="005020ED"/>
    <w:rsid w:val="00503E0C"/>
    <w:rsid w:val="00510A06"/>
    <w:rsid w:val="0051450C"/>
    <w:rsid w:val="0052168F"/>
    <w:rsid w:val="00522BC5"/>
    <w:rsid w:val="00531565"/>
    <w:rsid w:val="00533CF6"/>
    <w:rsid w:val="00535B2C"/>
    <w:rsid w:val="00537B28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2B57"/>
    <w:rsid w:val="00577920"/>
    <w:rsid w:val="005824AA"/>
    <w:rsid w:val="005836D7"/>
    <w:rsid w:val="00587DC7"/>
    <w:rsid w:val="005912D8"/>
    <w:rsid w:val="005A17A8"/>
    <w:rsid w:val="005A27D2"/>
    <w:rsid w:val="005A3930"/>
    <w:rsid w:val="005A7E4D"/>
    <w:rsid w:val="005C0551"/>
    <w:rsid w:val="005E401A"/>
    <w:rsid w:val="005E5B6C"/>
    <w:rsid w:val="005F0559"/>
    <w:rsid w:val="006011E5"/>
    <w:rsid w:val="00611C57"/>
    <w:rsid w:val="0061591A"/>
    <w:rsid w:val="00617102"/>
    <w:rsid w:val="00623CFF"/>
    <w:rsid w:val="00627A8C"/>
    <w:rsid w:val="00631BB4"/>
    <w:rsid w:val="006561BA"/>
    <w:rsid w:val="006613A4"/>
    <w:rsid w:val="0066167F"/>
    <w:rsid w:val="00665586"/>
    <w:rsid w:val="006707FC"/>
    <w:rsid w:val="00673B09"/>
    <w:rsid w:val="006740DC"/>
    <w:rsid w:val="00677E30"/>
    <w:rsid w:val="00680FDC"/>
    <w:rsid w:val="00690484"/>
    <w:rsid w:val="00693597"/>
    <w:rsid w:val="006959DA"/>
    <w:rsid w:val="006A4468"/>
    <w:rsid w:val="006B0907"/>
    <w:rsid w:val="006C3007"/>
    <w:rsid w:val="006C30B5"/>
    <w:rsid w:val="006C739A"/>
    <w:rsid w:val="006C73F2"/>
    <w:rsid w:val="006D7461"/>
    <w:rsid w:val="006E0CCF"/>
    <w:rsid w:val="006E115C"/>
    <w:rsid w:val="006E4CD4"/>
    <w:rsid w:val="006E61E9"/>
    <w:rsid w:val="006F04D3"/>
    <w:rsid w:val="006F6763"/>
    <w:rsid w:val="007027C3"/>
    <w:rsid w:val="00704DEF"/>
    <w:rsid w:val="00707DF8"/>
    <w:rsid w:val="00721471"/>
    <w:rsid w:val="007215C0"/>
    <w:rsid w:val="00721901"/>
    <w:rsid w:val="0073166B"/>
    <w:rsid w:val="00732D38"/>
    <w:rsid w:val="00740D6B"/>
    <w:rsid w:val="007418F1"/>
    <w:rsid w:val="007424D7"/>
    <w:rsid w:val="007425EE"/>
    <w:rsid w:val="00744004"/>
    <w:rsid w:val="00750FD2"/>
    <w:rsid w:val="00752820"/>
    <w:rsid w:val="0075431F"/>
    <w:rsid w:val="0075781A"/>
    <w:rsid w:val="00763D54"/>
    <w:rsid w:val="00765D7E"/>
    <w:rsid w:val="00773492"/>
    <w:rsid w:val="00784C72"/>
    <w:rsid w:val="007862A5"/>
    <w:rsid w:val="007A0CE2"/>
    <w:rsid w:val="007A6BFA"/>
    <w:rsid w:val="007B2F90"/>
    <w:rsid w:val="007B6099"/>
    <w:rsid w:val="007B7EE9"/>
    <w:rsid w:val="007C2FDA"/>
    <w:rsid w:val="007C64CD"/>
    <w:rsid w:val="007D260F"/>
    <w:rsid w:val="007D6192"/>
    <w:rsid w:val="007E20B6"/>
    <w:rsid w:val="007E3BC5"/>
    <w:rsid w:val="007F4941"/>
    <w:rsid w:val="007F5024"/>
    <w:rsid w:val="007F5F2F"/>
    <w:rsid w:val="008025D2"/>
    <w:rsid w:val="00806CCE"/>
    <w:rsid w:val="00825D72"/>
    <w:rsid w:val="008260C3"/>
    <w:rsid w:val="0083123C"/>
    <w:rsid w:val="008344FD"/>
    <w:rsid w:val="00835FBA"/>
    <w:rsid w:val="00842FD3"/>
    <w:rsid w:val="008453F4"/>
    <w:rsid w:val="00846017"/>
    <w:rsid w:val="00851DF1"/>
    <w:rsid w:val="008562CE"/>
    <w:rsid w:val="00867CE5"/>
    <w:rsid w:val="00884FF6"/>
    <w:rsid w:val="00886211"/>
    <w:rsid w:val="008A08B7"/>
    <w:rsid w:val="008A1DEA"/>
    <w:rsid w:val="008B55D0"/>
    <w:rsid w:val="008B7E2B"/>
    <w:rsid w:val="008C2BD4"/>
    <w:rsid w:val="008C5501"/>
    <w:rsid w:val="008C78C6"/>
    <w:rsid w:val="008D3878"/>
    <w:rsid w:val="008E1EA9"/>
    <w:rsid w:val="008E29DD"/>
    <w:rsid w:val="008F08F5"/>
    <w:rsid w:val="008F6924"/>
    <w:rsid w:val="00901607"/>
    <w:rsid w:val="009028E4"/>
    <w:rsid w:val="00921B61"/>
    <w:rsid w:val="00922282"/>
    <w:rsid w:val="009362A2"/>
    <w:rsid w:val="00950D4E"/>
    <w:rsid w:val="0095265D"/>
    <w:rsid w:val="009625CF"/>
    <w:rsid w:val="00965834"/>
    <w:rsid w:val="00967D2F"/>
    <w:rsid w:val="00974AB0"/>
    <w:rsid w:val="0097666D"/>
    <w:rsid w:val="009803C0"/>
    <w:rsid w:val="009820AB"/>
    <w:rsid w:val="009846B2"/>
    <w:rsid w:val="00987E42"/>
    <w:rsid w:val="00994192"/>
    <w:rsid w:val="009A0094"/>
    <w:rsid w:val="009B2707"/>
    <w:rsid w:val="009B31A5"/>
    <w:rsid w:val="009B6D8E"/>
    <w:rsid w:val="009C3252"/>
    <w:rsid w:val="009D6CD0"/>
    <w:rsid w:val="009E7E40"/>
    <w:rsid w:val="00A01000"/>
    <w:rsid w:val="00A051AF"/>
    <w:rsid w:val="00A06F0D"/>
    <w:rsid w:val="00A24F86"/>
    <w:rsid w:val="00A32302"/>
    <w:rsid w:val="00A32C95"/>
    <w:rsid w:val="00A35324"/>
    <w:rsid w:val="00A359ED"/>
    <w:rsid w:val="00A42073"/>
    <w:rsid w:val="00A457DE"/>
    <w:rsid w:val="00A5095E"/>
    <w:rsid w:val="00A57A88"/>
    <w:rsid w:val="00A64353"/>
    <w:rsid w:val="00A674AC"/>
    <w:rsid w:val="00A67DD2"/>
    <w:rsid w:val="00A7577C"/>
    <w:rsid w:val="00A77CFA"/>
    <w:rsid w:val="00A82AB6"/>
    <w:rsid w:val="00A84D7E"/>
    <w:rsid w:val="00A87202"/>
    <w:rsid w:val="00AA136E"/>
    <w:rsid w:val="00AA2418"/>
    <w:rsid w:val="00AA3378"/>
    <w:rsid w:val="00AA4573"/>
    <w:rsid w:val="00AA6804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F01DC"/>
    <w:rsid w:val="00AF2D2E"/>
    <w:rsid w:val="00AF5FDF"/>
    <w:rsid w:val="00AF77C2"/>
    <w:rsid w:val="00AF789C"/>
    <w:rsid w:val="00B041E0"/>
    <w:rsid w:val="00B06816"/>
    <w:rsid w:val="00B075AF"/>
    <w:rsid w:val="00B112B5"/>
    <w:rsid w:val="00B1559A"/>
    <w:rsid w:val="00B25F75"/>
    <w:rsid w:val="00B5223A"/>
    <w:rsid w:val="00B621E6"/>
    <w:rsid w:val="00B62675"/>
    <w:rsid w:val="00B717CF"/>
    <w:rsid w:val="00B749D9"/>
    <w:rsid w:val="00B7521E"/>
    <w:rsid w:val="00B83357"/>
    <w:rsid w:val="00B8598B"/>
    <w:rsid w:val="00B87A46"/>
    <w:rsid w:val="00BA65FC"/>
    <w:rsid w:val="00BB19E2"/>
    <w:rsid w:val="00BB22B2"/>
    <w:rsid w:val="00BB5F08"/>
    <w:rsid w:val="00BC39E2"/>
    <w:rsid w:val="00BC502D"/>
    <w:rsid w:val="00BC62D6"/>
    <w:rsid w:val="00BC66A2"/>
    <w:rsid w:val="00BC7E87"/>
    <w:rsid w:val="00BD2B3F"/>
    <w:rsid w:val="00BD7A7B"/>
    <w:rsid w:val="00BE7E3B"/>
    <w:rsid w:val="00C1579D"/>
    <w:rsid w:val="00C27ABB"/>
    <w:rsid w:val="00C345B7"/>
    <w:rsid w:val="00C34B7C"/>
    <w:rsid w:val="00C43A29"/>
    <w:rsid w:val="00C6023B"/>
    <w:rsid w:val="00C60D5F"/>
    <w:rsid w:val="00C705EE"/>
    <w:rsid w:val="00C737E5"/>
    <w:rsid w:val="00C75A8A"/>
    <w:rsid w:val="00C76D6A"/>
    <w:rsid w:val="00C85BFF"/>
    <w:rsid w:val="00CA30E6"/>
    <w:rsid w:val="00CA5296"/>
    <w:rsid w:val="00CB6826"/>
    <w:rsid w:val="00CD26E9"/>
    <w:rsid w:val="00CE00FB"/>
    <w:rsid w:val="00CE4BF3"/>
    <w:rsid w:val="00CE614B"/>
    <w:rsid w:val="00CE64C9"/>
    <w:rsid w:val="00CF3106"/>
    <w:rsid w:val="00CF4D9F"/>
    <w:rsid w:val="00D032CF"/>
    <w:rsid w:val="00D0502C"/>
    <w:rsid w:val="00D07332"/>
    <w:rsid w:val="00D10B21"/>
    <w:rsid w:val="00D15DA5"/>
    <w:rsid w:val="00D35CAF"/>
    <w:rsid w:val="00D362EB"/>
    <w:rsid w:val="00D4117D"/>
    <w:rsid w:val="00D44EDF"/>
    <w:rsid w:val="00D527AB"/>
    <w:rsid w:val="00D66D2F"/>
    <w:rsid w:val="00D73D63"/>
    <w:rsid w:val="00D7482A"/>
    <w:rsid w:val="00D757E9"/>
    <w:rsid w:val="00D80BE1"/>
    <w:rsid w:val="00D95485"/>
    <w:rsid w:val="00D975A5"/>
    <w:rsid w:val="00DA2ACC"/>
    <w:rsid w:val="00DA357A"/>
    <w:rsid w:val="00DC68E9"/>
    <w:rsid w:val="00DD1BB2"/>
    <w:rsid w:val="00DD23CD"/>
    <w:rsid w:val="00DD323C"/>
    <w:rsid w:val="00DD52E2"/>
    <w:rsid w:val="00DE218F"/>
    <w:rsid w:val="00DE21A4"/>
    <w:rsid w:val="00DE530E"/>
    <w:rsid w:val="00DE5EA2"/>
    <w:rsid w:val="00DE7357"/>
    <w:rsid w:val="00DF2E13"/>
    <w:rsid w:val="00DF456C"/>
    <w:rsid w:val="00DF4E68"/>
    <w:rsid w:val="00E04D95"/>
    <w:rsid w:val="00E13386"/>
    <w:rsid w:val="00E15BD4"/>
    <w:rsid w:val="00E26E54"/>
    <w:rsid w:val="00E4142D"/>
    <w:rsid w:val="00E44055"/>
    <w:rsid w:val="00E44D8B"/>
    <w:rsid w:val="00E530DF"/>
    <w:rsid w:val="00E62E50"/>
    <w:rsid w:val="00E64825"/>
    <w:rsid w:val="00E650D0"/>
    <w:rsid w:val="00E74D37"/>
    <w:rsid w:val="00E77EC5"/>
    <w:rsid w:val="00E80B55"/>
    <w:rsid w:val="00E84770"/>
    <w:rsid w:val="00E91376"/>
    <w:rsid w:val="00E96B5F"/>
    <w:rsid w:val="00EA637B"/>
    <w:rsid w:val="00EC7DD1"/>
    <w:rsid w:val="00ED4E1B"/>
    <w:rsid w:val="00EE05B4"/>
    <w:rsid w:val="00EE176F"/>
    <w:rsid w:val="00EF165F"/>
    <w:rsid w:val="00EF7973"/>
    <w:rsid w:val="00F255D4"/>
    <w:rsid w:val="00F259A9"/>
    <w:rsid w:val="00F32E4B"/>
    <w:rsid w:val="00F35FFD"/>
    <w:rsid w:val="00F3732D"/>
    <w:rsid w:val="00F426F5"/>
    <w:rsid w:val="00F447EC"/>
    <w:rsid w:val="00F47F5E"/>
    <w:rsid w:val="00F504A2"/>
    <w:rsid w:val="00F60CC1"/>
    <w:rsid w:val="00F60CE3"/>
    <w:rsid w:val="00F63B9B"/>
    <w:rsid w:val="00F6537A"/>
    <w:rsid w:val="00F67456"/>
    <w:rsid w:val="00F76875"/>
    <w:rsid w:val="00F8383B"/>
    <w:rsid w:val="00F83BB4"/>
    <w:rsid w:val="00F93154"/>
    <w:rsid w:val="00F93B0A"/>
    <w:rsid w:val="00FA160A"/>
    <w:rsid w:val="00FB1272"/>
    <w:rsid w:val="00FB28B7"/>
    <w:rsid w:val="00FC3129"/>
    <w:rsid w:val="00FD42D8"/>
    <w:rsid w:val="00FD4547"/>
    <w:rsid w:val="00FD670F"/>
    <w:rsid w:val="00FE02CA"/>
    <w:rsid w:val="00FE3F60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rsid w:val="004A5115"/>
    <w:pPr>
      <w:keepNext/>
      <w:keepLines/>
      <w:numPr>
        <w:numId w:val="17"/>
      </w:numPr>
      <w:spacing w:before="360" w:after="120"/>
      <w:outlineLvl w:val="0"/>
    </w:pPr>
    <w:rPr>
      <w:rFonts w:ascii="Arial" w:hAnsi="Arial" w:cs="Arial"/>
      <w:b/>
      <w:bCs/>
      <w:color w:val="00407A"/>
      <w:szCs w:val="40"/>
    </w:rPr>
  </w:style>
  <w:style w:type="paragraph" w:styleId="Heading2">
    <w:name w:val="heading 2"/>
    <w:basedOn w:val="Normal"/>
    <w:next w:val="Normal"/>
    <w:link w:val="Heading2Char"/>
    <w:uiPriority w:val="99"/>
    <w:unhideWhenUsed/>
    <w:rsid w:val="004A5115"/>
    <w:pPr>
      <w:numPr>
        <w:ilvl w:val="1"/>
        <w:numId w:val="17"/>
      </w:numPr>
      <w:spacing w:before="120" w:after="120"/>
      <w:outlineLvl w:val="1"/>
    </w:pPr>
    <w:rPr>
      <w:rFonts w:ascii="Arial" w:hAnsi="Arial"/>
      <w:b/>
      <w:bCs/>
      <w:color w:val="00407A"/>
      <w:sz w:val="22"/>
      <w:szCs w:val="22"/>
    </w:rPr>
  </w:style>
  <w:style w:type="paragraph" w:styleId="Heading3">
    <w:name w:val="heading 3"/>
    <w:basedOn w:val="Heading2"/>
    <w:next w:val="Normal"/>
    <w:link w:val="Heading3Char"/>
    <w:uiPriority w:val="99"/>
    <w:semiHidden/>
    <w:unhideWhenUsed/>
    <w:rsid w:val="004A5115"/>
    <w:pPr>
      <w:numPr>
        <w:ilvl w:val="2"/>
      </w:numPr>
      <w:tabs>
        <w:tab w:val="left" w:pos="1800"/>
      </w:tabs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uiPriority w:val="29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uiPriority w:val="29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  <w:style w:type="paragraph" w:customStyle="1" w:styleId="ReportBody">
    <w:name w:val="Report Body"/>
    <w:basedOn w:val="Normal"/>
    <w:qFormat/>
    <w:rsid w:val="004B091D"/>
    <w:pPr>
      <w:spacing w:before="60" w:after="200" w:line="250" w:lineRule="exact"/>
    </w:pPr>
    <w:rPr>
      <w:rFonts w:ascii="Arial" w:hAnsi="Arial" w:cs="Arial"/>
      <w:sz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4A5115"/>
    <w:rPr>
      <w:rFonts w:ascii="Arial" w:hAnsi="Arial" w:cs="Arial"/>
      <w:b/>
      <w:bCs/>
      <w:color w:val="00407A"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4A5115"/>
    <w:rPr>
      <w:rFonts w:ascii="Arial" w:hAnsi="Arial"/>
      <w:b/>
      <w:bCs/>
      <w:color w:val="00407A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A5115"/>
    <w:rPr>
      <w:rFonts w:ascii="Arial" w:hAnsi="Arial"/>
      <w:b/>
      <w:bCs/>
      <w:color w:val="00407A"/>
      <w:sz w:val="22"/>
      <w:szCs w:val="22"/>
    </w:rPr>
  </w:style>
  <w:style w:type="paragraph" w:styleId="Caption">
    <w:name w:val="caption"/>
    <w:basedOn w:val="Normal"/>
    <w:next w:val="Normal"/>
    <w:qFormat/>
    <w:rsid w:val="003B3DA1"/>
    <w:pPr>
      <w:tabs>
        <w:tab w:val="left" w:pos="720"/>
      </w:tabs>
      <w:spacing w:before="120" w:after="120" w:line="288" w:lineRule="auto"/>
      <w:jc w:val="both"/>
    </w:pPr>
    <w:rPr>
      <w:rFonts w:ascii="Arial" w:hAnsi="Arial"/>
      <w:b/>
      <w:bCs/>
      <w:color w:val="00407A"/>
      <w:sz w:val="20"/>
      <w:szCs w:val="16"/>
    </w:rPr>
  </w:style>
  <w:style w:type="paragraph" w:customStyle="1" w:styleId="Bullet1">
    <w:name w:val="Bullet 1"/>
    <w:basedOn w:val="Normal"/>
    <w:qFormat/>
    <w:rsid w:val="003B3DA1"/>
    <w:pPr>
      <w:numPr>
        <w:numId w:val="18"/>
      </w:numPr>
      <w:spacing w:after="60"/>
    </w:pPr>
    <w:rPr>
      <w:rFonts w:ascii="Arial" w:hAnsi="Arial"/>
      <w:sz w:val="20"/>
    </w:rPr>
  </w:style>
  <w:style w:type="paragraph" w:customStyle="1" w:styleId="Bullet3">
    <w:name w:val="Bullet 3"/>
    <w:basedOn w:val="Bullet1"/>
    <w:qFormat/>
    <w:rsid w:val="003B3DA1"/>
    <w:pPr>
      <w:numPr>
        <w:ilvl w:val="2"/>
      </w:numPr>
      <w:tabs>
        <w:tab w:val="left" w:pos="1080"/>
      </w:tabs>
    </w:pPr>
    <w:rPr>
      <w:lang w:val="fr-FR"/>
    </w:rPr>
  </w:style>
  <w:style w:type="paragraph" w:customStyle="1" w:styleId="Bullet2">
    <w:name w:val="Bullet 2"/>
    <w:basedOn w:val="Bullet1"/>
    <w:qFormat/>
    <w:rsid w:val="003B3DA1"/>
    <w:pPr>
      <w:numPr>
        <w:ilvl w:val="1"/>
      </w:numPr>
      <w:tabs>
        <w:tab w:val="left" w:pos="720"/>
      </w:tabs>
    </w:pPr>
  </w:style>
  <w:style w:type="paragraph" w:styleId="TOC4">
    <w:name w:val="toc 4"/>
    <w:basedOn w:val="Normal"/>
    <w:next w:val="Normal"/>
    <w:autoRedefine/>
    <w:rsid w:val="005C0551"/>
    <w:pPr>
      <w:spacing w:after="1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rsid w:val="004A5115"/>
    <w:pPr>
      <w:keepNext/>
      <w:keepLines/>
      <w:numPr>
        <w:numId w:val="17"/>
      </w:numPr>
      <w:spacing w:before="360" w:after="120"/>
      <w:outlineLvl w:val="0"/>
    </w:pPr>
    <w:rPr>
      <w:rFonts w:ascii="Arial" w:hAnsi="Arial" w:cs="Arial"/>
      <w:b/>
      <w:bCs/>
      <w:color w:val="00407A"/>
      <w:szCs w:val="40"/>
    </w:rPr>
  </w:style>
  <w:style w:type="paragraph" w:styleId="Heading2">
    <w:name w:val="heading 2"/>
    <w:basedOn w:val="Normal"/>
    <w:next w:val="Normal"/>
    <w:link w:val="Heading2Char"/>
    <w:uiPriority w:val="99"/>
    <w:unhideWhenUsed/>
    <w:rsid w:val="004A5115"/>
    <w:pPr>
      <w:numPr>
        <w:ilvl w:val="1"/>
        <w:numId w:val="17"/>
      </w:numPr>
      <w:spacing w:before="120" w:after="120"/>
      <w:outlineLvl w:val="1"/>
    </w:pPr>
    <w:rPr>
      <w:rFonts w:ascii="Arial" w:hAnsi="Arial"/>
      <w:b/>
      <w:bCs/>
      <w:color w:val="00407A"/>
      <w:sz w:val="22"/>
      <w:szCs w:val="22"/>
    </w:rPr>
  </w:style>
  <w:style w:type="paragraph" w:styleId="Heading3">
    <w:name w:val="heading 3"/>
    <w:basedOn w:val="Heading2"/>
    <w:next w:val="Normal"/>
    <w:link w:val="Heading3Char"/>
    <w:uiPriority w:val="99"/>
    <w:semiHidden/>
    <w:unhideWhenUsed/>
    <w:rsid w:val="004A5115"/>
    <w:pPr>
      <w:numPr>
        <w:ilvl w:val="2"/>
      </w:numPr>
      <w:tabs>
        <w:tab w:val="left" w:pos="1800"/>
      </w:tabs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uiPriority w:val="29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uiPriority w:val="29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  <w:style w:type="paragraph" w:customStyle="1" w:styleId="ReportBody">
    <w:name w:val="Report Body"/>
    <w:basedOn w:val="Normal"/>
    <w:qFormat/>
    <w:rsid w:val="004B091D"/>
    <w:pPr>
      <w:spacing w:before="60" w:after="200" w:line="250" w:lineRule="exact"/>
    </w:pPr>
    <w:rPr>
      <w:rFonts w:ascii="Arial" w:hAnsi="Arial" w:cs="Arial"/>
      <w:sz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4A5115"/>
    <w:rPr>
      <w:rFonts w:ascii="Arial" w:hAnsi="Arial" w:cs="Arial"/>
      <w:b/>
      <w:bCs/>
      <w:color w:val="00407A"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4A5115"/>
    <w:rPr>
      <w:rFonts w:ascii="Arial" w:hAnsi="Arial"/>
      <w:b/>
      <w:bCs/>
      <w:color w:val="00407A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A5115"/>
    <w:rPr>
      <w:rFonts w:ascii="Arial" w:hAnsi="Arial"/>
      <w:b/>
      <w:bCs/>
      <w:color w:val="00407A"/>
      <w:sz w:val="22"/>
      <w:szCs w:val="22"/>
    </w:rPr>
  </w:style>
  <w:style w:type="paragraph" w:styleId="Caption">
    <w:name w:val="caption"/>
    <w:basedOn w:val="Normal"/>
    <w:next w:val="Normal"/>
    <w:qFormat/>
    <w:rsid w:val="003B3DA1"/>
    <w:pPr>
      <w:tabs>
        <w:tab w:val="left" w:pos="720"/>
      </w:tabs>
      <w:spacing w:before="120" w:after="120" w:line="288" w:lineRule="auto"/>
      <w:jc w:val="both"/>
    </w:pPr>
    <w:rPr>
      <w:rFonts w:ascii="Arial" w:hAnsi="Arial"/>
      <w:b/>
      <w:bCs/>
      <w:color w:val="00407A"/>
      <w:sz w:val="20"/>
      <w:szCs w:val="16"/>
    </w:rPr>
  </w:style>
  <w:style w:type="paragraph" w:customStyle="1" w:styleId="Bullet1">
    <w:name w:val="Bullet 1"/>
    <w:basedOn w:val="Normal"/>
    <w:qFormat/>
    <w:rsid w:val="003B3DA1"/>
    <w:pPr>
      <w:numPr>
        <w:numId w:val="18"/>
      </w:numPr>
      <w:spacing w:after="60"/>
    </w:pPr>
    <w:rPr>
      <w:rFonts w:ascii="Arial" w:hAnsi="Arial"/>
      <w:sz w:val="20"/>
    </w:rPr>
  </w:style>
  <w:style w:type="paragraph" w:customStyle="1" w:styleId="Bullet3">
    <w:name w:val="Bullet 3"/>
    <w:basedOn w:val="Bullet1"/>
    <w:qFormat/>
    <w:rsid w:val="003B3DA1"/>
    <w:pPr>
      <w:numPr>
        <w:ilvl w:val="2"/>
      </w:numPr>
      <w:tabs>
        <w:tab w:val="left" w:pos="1080"/>
      </w:tabs>
    </w:pPr>
    <w:rPr>
      <w:lang w:val="fr-FR"/>
    </w:rPr>
  </w:style>
  <w:style w:type="paragraph" w:customStyle="1" w:styleId="Bullet2">
    <w:name w:val="Bullet 2"/>
    <w:basedOn w:val="Bullet1"/>
    <w:qFormat/>
    <w:rsid w:val="003B3DA1"/>
    <w:pPr>
      <w:numPr>
        <w:ilvl w:val="1"/>
      </w:numPr>
      <w:tabs>
        <w:tab w:val="left" w:pos="720"/>
      </w:tabs>
    </w:pPr>
  </w:style>
  <w:style w:type="paragraph" w:styleId="TOC4">
    <w:name w:val="toc 4"/>
    <w:basedOn w:val="Normal"/>
    <w:next w:val="Normal"/>
    <w:autoRedefine/>
    <w:rsid w:val="005C0551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479A-505D-4A75-97D0-79CA67D70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484DA34-0FBF-4E3E-8FCD-53C76E66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963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2018-09-05T21:58:00Z</dcterms:created>
  <dcterms:modified xsi:type="dcterms:W3CDTF">2018-09-05T22:09:00Z</dcterms:modified>
</cp:coreProperties>
</file>