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0" w:rsidRDefault="006569DB" w:rsidP="0075057C">
      <w:pPr>
        <w:pStyle w:val="FactSheetHeading2"/>
      </w:pPr>
      <w:bookmarkStart w:id="0" w:name="_GoBack"/>
      <w:bookmarkEnd w:id="0"/>
      <w:r>
        <w:t>Background</w:t>
      </w:r>
    </w:p>
    <w:p w:rsidR="00FE2695" w:rsidRDefault="009503C8" w:rsidP="00FE2695">
      <w:pPr>
        <w:pStyle w:val="FactSheetBody"/>
        <w:spacing w:after="60"/>
      </w:pPr>
      <w:r>
        <w:t xml:space="preserve">On </w:t>
      </w:r>
      <w:r w:rsidR="002C2AC9">
        <w:t>April</w:t>
      </w:r>
      <w:r w:rsidR="005A1ECC">
        <w:t xml:space="preserve"> 1</w:t>
      </w:r>
      <w:r w:rsidR="002C2AC9">
        <w:t>0</w:t>
      </w:r>
      <w:r w:rsidR="00927B98">
        <w:t>, 2017</w:t>
      </w:r>
      <w:r w:rsidR="00FE2695" w:rsidRPr="00FE2695">
        <w:t xml:space="preserve">, the AESO and stakeholders participated in a consultation meeting to discuss </w:t>
      </w:r>
      <w:r w:rsidR="00D776F3">
        <w:t>(</w:t>
      </w:r>
      <w:r w:rsidR="004B30DA">
        <w:t>1</w:t>
      </w:r>
      <w:r w:rsidR="00D776F3">
        <w:t xml:space="preserve">) </w:t>
      </w:r>
      <w:r w:rsidR="002C2AC9">
        <w:t>proposed</w:t>
      </w:r>
      <w:r w:rsidR="000A12F0">
        <w:t xml:space="preserve"> changes to the</w:t>
      </w:r>
      <w:r w:rsidR="001D46B9">
        <w:t xml:space="preserve"> ISO tariff’s terms and conditions</w:t>
      </w:r>
      <w:r w:rsidR="008372CE">
        <w:t>;</w:t>
      </w:r>
      <w:r w:rsidR="00D776F3">
        <w:t xml:space="preserve"> (2) </w:t>
      </w:r>
      <w:r w:rsidR="002C2AC9">
        <w:t>cost responsibility for compliance with the Critical Infrastructure Protection (“CIP”) Alberta reliability standards</w:t>
      </w:r>
      <w:r w:rsidR="008372CE">
        <w:t>;</w:t>
      </w:r>
      <w:r w:rsidR="002C2AC9">
        <w:t xml:space="preserve"> (3) results on the AESO’s point of delivery (“POD”) cost function database results and analysis;</w:t>
      </w:r>
      <w:r w:rsidR="00D828FB">
        <w:t xml:space="preserve"> </w:t>
      </w:r>
      <w:r w:rsidR="00D776F3">
        <w:t>and (</w:t>
      </w:r>
      <w:r w:rsidR="002C2AC9">
        <w:t>4</w:t>
      </w:r>
      <w:r w:rsidR="00D776F3">
        <w:t xml:space="preserve">) </w:t>
      </w:r>
      <w:r w:rsidR="00D828FB">
        <w:t>application process and next steps</w:t>
      </w:r>
      <w:r w:rsidR="00FE2695">
        <w:t>.</w:t>
      </w:r>
      <w:r w:rsidR="00FE2695" w:rsidRPr="00FE2695">
        <w:t xml:space="preserve"> </w:t>
      </w:r>
      <w:r w:rsidR="00FE2695">
        <w:t xml:space="preserve">Based on discussion at the meeting, the AESO invites written comments from stakeholders on the information presented. </w:t>
      </w:r>
      <w:r w:rsidR="008B3685">
        <w:t>T</w:t>
      </w:r>
      <w:r w:rsidR="00FE2695">
        <w:t xml:space="preserve">he meeting presentation </w:t>
      </w:r>
      <w:r w:rsidR="008B3685">
        <w:t>is</w:t>
      </w:r>
      <w:r w:rsidR="00FE2695">
        <w:t xml:space="preserve"> posted on the AESO website and </w:t>
      </w:r>
      <w:r w:rsidR="00FE2695" w:rsidRPr="00FE2695">
        <w:t xml:space="preserve">can be accessed at </w:t>
      </w:r>
      <w:hyperlink r:id="rId9" w:history="1">
        <w:r w:rsidR="00FE2695" w:rsidRPr="0078492C">
          <w:rPr>
            <w:rStyle w:val="Hyperlink"/>
          </w:rPr>
          <w:t>www.aeso.ca</w:t>
        </w:r>
      </w:hyperlink>
      <w:r w:rsidR="00FE2695">
        <w:t xml:space="preserve"> </w:t>
      </w:r>
      <w:r w:rsidR="00FE2695" w:rsidRPr="00FE2695">
        <w:t>by following the path</w:t>
      </w:r>
      <w:r w:rsidR="00B07992">
        <w:t>:</w:t>
      </w:r>
      <w:r w:rsidR="00FE2695" w:rsidRPr="00FE2695">
        <w:t xml:space="preserve"> </w:t>
      </w:r>
      <w:r w:rsidR="00EC466C">
        <w:t xml:space="preserve">Rules, Standards and </w:t>
      </w:r>
      <w:r w:rsidR="00FE2695" w:rsidRPr="00FE2695">
        <w:t xml:space="preserve">Tariff ► </w:t>
      </w:r>
      <w:r w:rsidR="00D828FB">
        <w:t>Stakeholder engagement</w:t>
      </w:r>
      <w:r w:rsidR="00FE2695" w:rsidRPr="00FE2695">
        <w:t xml:space="preserve"> ► 201</w:t>
      </w:r>
      <w:r w:rsidR="00EC466C">
        <w:t>8 ISO T</w:t>
      </w:r>
      <w:r w:rsidR="00FE2695" w:rsidRPr="00FE2695">
        <w:t>ariff</w:t>
      </w:r>
      <w:r w:rsidR="00EC466C">
        <w:t xml:space="preserve"> A</w:t>
      </w:r>
      <w:r w:rsidR="00D828FB">
        <w:t>pplication</w:t>
      </w:r>
      <w:r w:rsidR="00FE2695" w:rsidRPr="00FE2695">
        <w:t>.</w:t>
      </w:r>
    </w:p>
    <w:p w:rsidR="00F56C96" w:rsidRDefault="0075057C" w:rsidP="0075057C">
      <w:pPr>
        <w:pStyle w:val="FactSheetBody"/>
      </w:pPr>
      <w:r>
        <w:t xml:space="preserve">Please use the comment form below when submitting comments to the AESO on the </w:t>
      </w:r>
      <w:r w:rsidR="00FE2695">
        <w:t>201</w:t>
      </w:r>
      <w:r w:rsidR="00D828FB">
        <w:t>8</w:t>
      </w:r>
      <w:r w:rsidR="00FE2695">
        <w:t xml:space="preserve"> </w:t>
      </w:r>
      <w:r w:rsidR="00445DD6">
        <w:t xml:space="preserve">ISO </w:t>
      </w:r>
      <w:r w:rsidR="00FE2695">
        <w:t>tariff consultation</w:t>
      </w:r>
      <w:r>
        <w:t xml:space="preserve">. Please ensure that </w:t>
      </w:r>
      <w:r w:rsidR="006569DB">
        <w:t xml:space="preserve">your </w:t>
      </w:r>
      <w:r>
        <w:t xml:space="preserve">comments represent all interests within your stakeholder organization with respect to the </w:t>
      </w:r>
      <w:r w:rsidR="00FE2695">
        <w:t>consultation</w:t>
      </w:r>
      <w:r>
        <w:t xml:space="preserve">. Please provide comments or questions no later than </w:t>
      </w:r>
      <w:r w:rsidR="002C2AC9">
        <w:rPr>
          <w:b/>
        </w:rPr>
        <w:t xml:space="preserve">May </w:t>
      </w:r>
      <w:r w:rsidR="00A354A1">
        <w:rPr>
          <w:b/>
        </w:rPr>
        <w:t>2</w:t>
      </w:r>
      <w:r w:rsidR="005B7D76">
        <w:rPr>
          <w:b/>
        </w:rPr>
        <w:t>, 201</w:t>
      </w:r>
      <w:r w:rsidR="00D828FB">
        <w:rPr>
          <w:b/>
        </w:rPr>
        <w:t>7</w:t>
      </w:r>
      <w:r>
        <w:t xml:space="preserve">, to </w:t>
      </w:r>
      <w:r w:rsidR="005B7D76">
        <w:t>LaRhonda Papworth</w:t>
      </w:r>
      <w:r>
        <w:t xml:space="preserve"> </w:t>
      </w:r>
      <w:r w:rsidR="006569DB">
        <w:t>at</w:t>
      </w:r>
      <w:r w:rsidR="00F477AD">
        <w:t xml:space="preserve"> </w:t>
      </w:r>
      <w:hyperlink r:id="rId10" w:history="1">
        <w:r w:rsidR="005B7D76">
          <w:rPr>
            <w:rStyle w:val="Hyperlink"/>
          </w:rPr>
          <w:t>larhonda.papworth@aeso.ca</w:t>
        </w:r>
      </w:hyperlink>
      <w:r w:rsidR="00FE2695">
        <w:t xml:space="preserve"> or 403-539-2</w:t>
      </w:r>
      <w:r w:rsidR="005B7D76">
        <w:t>555</w:t>
      </w:r>
      <w:r w:rsidR="00F56C96">
        <w:t>.</w:t>
      </w:r>
    </w:p>
    <w:p w:rsidR="0075057C" w:rsidRPr="009503C8" w:rsidRDefault="0075057C" w:rsidP="0075057C">
      <w:pPr>
        <w:pStyle w:val="FactSheetHeading2"/>
      </w:pPr>
      <w:r>
        <w:t xml:space="preserve">Consultation and </w:t>
      </w:r>
      <w:r w:rsidRPr="0075057C">
        <w:t xml:space="preserve">Stakeholder </w:t>
      </w:r>
      <w:r>
        <w:t>Identification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  <w:r>
              <w:t>Date of Request for Comments</w:t>
            </w:r>
            <w:r w:rsidRPr="009503C8"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2C2AC9" w:rsidP="001F2342">
            <w:pPr>
              <w:pStyle w:val="FactSheetBody"/>
              <w:spacing w:after="60"/>
            </w:pPr>
            <w:r>
              <w:t>April 18</w:t>
            </w:r>
            <w:r w:rsidR="00927B98">
              <w:t>, 2017</w:t>
            </w:r>
          </w:p>
        </w:tc>
      </w:tr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  <w:r>
              <w:t>Period of Consultation</w:t>
            </w:r>
            <w:r w:rsidRPr="009503C8"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56615F" w:rsidP="002C2AC9">
            <w:pPr>
              <w:pStyle w:val="FactSheetBody"/>
              <w:spacing w:after="60"/>
            </w:pPr>
            <w:r>
              <w:t>November 15</w:t>
            </w:r>
            <w:r w:rsidR="00F56C96">
              <w:t>, 2016</w:t>
            </w:r>
            <w:r>
              <w:t xml:space="preserve"> – </w:t>
            </w:r>
            <w:r w:rsidR="002C2AC9">
              <w:t>April 18</w:t>
            </w:r>
            <w:r w:rsidR="00D828FB">
              <w:t>, 201</w:t>
            </w:r>
            <w:r w:rsidR="00F56C96">
              <w:t>7</w:t>
            </w:r>
          </w:p>
        </w:tc>
      </w:tr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  <w:r>
              <w:t>Comments From</w:t>
            </w:r>
            <w:r w:rsidRPr="009503C8"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</w:p>
        </w:tc>
      </w:tr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  <w:r>
              <w:t>Date</w:t>
            </w:r>
            <w:r w:rsidRPr="009503C8"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</w:p>
        </w:tc>
      </w:tr>
      <w:tr w:rsidR="009503C8" w:rsidRPr="005132C9" w:rsidTr="005132C9">
        <w:tc>
          <w:tcPr>
            <w:tcW w:w="28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  <w:r>
              <w:t>Contact</w:t>
            </w:r>
            <w:r w:rsidRPr="009503C8"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</w:p>
        </w:tc>
      </w:tr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Default="009503C8" w:rsidP="005132C9">
            <w:pPr>
              <w:pStyle w:val="FactSheetBody"/>
              <w:spacing w:after="60"/>
            </w:pPr>
            <w:r>
              <w:t>Phone: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</w:p>
        </w:tc>
      </w:tr>
      <w:tr w:rsidR="009503C8" w:rsidRPr="009503C8" w:rsidTr="005132C9">
        <w:tc>
          <w:tcPr>
            <w:tcW w:w="2880" w:type="dxa"/>
            <w:shd w:val="clear" w:color="auto" w:fill="auto"/>
            <w:vAlign w:val="center"/>
          </w:tcPr>
          <w:p w:rsidR="009503C8" w:rsidRDefault="009503C8" w:rsidP="005132C9">
            <w:pPr>
              <w:pStyle w:val="FactSheetBody"/>
              <w:spacing w:after="60"/>
            </w:pPr>
            <w:r>
              <w:t>Email: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503C8" w:rsidRPr="009503C8" w:rsidRDefault="009503C8" w:rsidP="005132C9">
            <w:pPr>
              <w:pStyle w:val="FactSheetBody"/>
              <w:spacing w:after="60"/>
            </w:pPr>
          </w:p>
        </w:tc>
      </w:tr>
    </w:tbl>
    <w:p w:rsidR="006864D5" w:rsidRDefault="006864D5" w:rsidP="0075057C">
      <w:pPr>
        <w:pStyle w:val="FactSheetBody"/>
        <w:spacing w:before="0" w:after="0"/>
      </w:pPr>
    </w:p>
    <w:p w:rsidR="0075057C" w:rsidRDefault="0075057C" w:rsidP="0075057C">
      <w:pPr>
        <w:pStyle w:val="FactSheetHeading2"/>
      </w:pPr>
      <w:r>
        <w:t xml:space="preserve">Stakeholder Comments on AESO </w:t>
      </w:r>
      <w:r w:rsidR="00FE2695">
        <w:t>Information</w:t>
      </w:r>
    </w:p>
    <w:tbl>
      <w:tblPr>
        <w:tblW w:w="93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  <w:gridCol w:w="29"/>
      </w:tblGrid>
      <w:tr w:rsidR="00445DD6" w:rsidRPr="005132C9" w:rsidTr="006A1F7E">
        <w:trPr>
          <w:tblHeader/>
        </w:trPr>
        <w:tc>
          <w:tcPr>
            <w:tcW w:w="9389" w:type="dxa"/>
            <w:gridSpan w:val="2"/>
            <w:shd w:val="clear" w:color="auto" w:fill="00407A"/>
          </w:tcPr>
          <w:p w:rsidR="00445DD6" w:rsidRPr="005132C9" w:rsidRDefault="00445DD6" w:rsidP="005132C9">
            <w:pPr>
              <w:pStyle w:val="FactSheetBody"/>
              <w:spacing w:after="60"/>
              <w:jc w:val="center"/>
              <w:rPr>
                <w:b/>
                <w:color w:val="FFFFFF"/>
              </w:rPr>
            </w:pPr>
            <w:r w:rsidRPr="005132C9">
              <w:rPr>
                <w:b/>
                <w:color w:val="FFFFFF"/>
              </w:rPr>
              <w:t>Stakeholder Comment</w:t>
            </w:r>
          </w:p>
        </w:tc>
      </w:tr>
      <w:tr w:rsidR="00911FC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911FCE" w:rsidRPr="005132C9" w:rsidRDefault="00177C11" w:rsidP="00955FA9">
            <w:pPr>
              <w:pStyle w:val="FactSheetBody"/>
              <w:numPr>
                <w:ilvl w:val="0"/>
                <w:numId w:val="4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ISO Tariff Terms and Conditions - Proposals</w:t>
            </w:r>
            <w:r>
              <w:rPr>
                <w:b/>
                <w:i/>
              </w:rPr>
              <w:br/>
              <w:t xml:space="preserve">(Slides </w:t>
            </w:r>
            <w:r w:rsidR="00F133D3">
              <w:rPr>
                <w:b/>
                <w:i/>
              </w:rPr>
              <w:t>6</w:t>
            </w:r>
            <w:r w:rsidR="004B30DA">
              <w:rPr>
                <w:b/>
                <w:i/>
              </w:rPr>
              <w:t xml:space="preserve"> – </w:t>
            </w:r>
            <w:r w:rsidR="00955FA9">
              <w:rPr>
                <w:b/>
                <w:i/>
              </w:rPr>
              <w:t>36</w:t>
            </w:r>
            <w:r w:rsidR="004B30DA">
              <w:rPr>
                <w:b/>
                <w:i/>
              </w:rPr>
              <w:t>)</w:t>
            </w:r>
          </w:p>
        </w:tc>
      </w:tr>
      <w:tr w:rsidR="00177C11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177C11" w:rsidRDefault="00177C11" w:rsidP="000F5922">
            <w:pPr>
              <w:pStyle w:val="FactSheetBody"/>
              <w:numPr>
                <w:ilvl w:val="0"/>
                <w:numId w:val="5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Proceeding 20922 Closure Letter, March 29, 2017 (Slides 7-10):</w:t>
            </w:r>
          </w:p>
          <w:p w:rsidR="00177C11" w:rsidRDefault="00177C11" w:rsidP="000F5922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Issue 1: Legislative framework;</w:t>
            </w:r>
          </w:p>
          <w:p w:rsidR="00177C11" w:rsidRDefault="00177C11" w:rsidP="000F5922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Issue 2: Advanced system-related classification of radial transmission projects; and</w:t>
            </w:r>
          </w:p>
          <w:p w:rsidR="00177C11" w:rsidRPr="0007181E" w:rsidRDefault="00177C11" w:rsidP="000F5922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Issue 3: Load forecasting</w:t>
            </w:r>
          </w:p>
        </w:tc>
      </w:tr>
      <w:tr w:rsidR="00177C11" w:rsidTr="000F5922">
        <w:tc>
          <w:tcPr>
            <w:tcW w:w="9389" w:type="dxa"/>
            <w:gridSpan w:val="2"/>
            <w:shd w:val="clear" w:color="auto" w:fill="auto"/>
          </w:tcPr>
          <w:p w:rsidR="00177C11" w:rsidRDefault="00177C11" w:rsidP="000F5922">
            <w:pPr>
              <w:pStyle w:val="FactSheetBody"/>
              <w:spacing w:after="60"/>
            </w:pPr>
            <w:r>
              <w:t>Stakeholder Comments:</w:t>
            </w:r>
          </w:p>
          <w:p w:rsidR="00177C11" w:rsidRDefault="00177C11" w:rsidP="000F5922">
            <w:pPr>
              <w:pStyle w:val="FactSheetBody"/>
              <w:spacing w:after="60"/>
            </w:pPr>
          </w:p>
        </w:tc>
      </w:tr>
      <w:tr w:rsidR="00177C11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177C11" w:rsidRPr="00177C11" w:rsidRDefault="00177C11" w:rsidP="00177C11">
            <w:pPr>
              <w:pStyle w:val="FactSheetBody"/>
              <w:numPr>
                <w:ilvl w:val="0"/>
                <w:numId w:val="5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Other Commission Decisions (Slides 11-12)</w:t>
            </w:r>
          </w:p>
        </w:tc>
      </w:tr>
      <w:tr w:rsidR="00177C11" w:rsidTr="000F5922">
        <w:tc>
          <w:tcPr>
            <w:tcW w:w="9389" w:type="dxa"/>
            <w:gridSpan w:val="2"/>
            <w:shd w:val="clear" w:color="auto" w:fill="auto"/>
          </w:tcPr>
          <w:p w:rsidR="00177C11" w:rsidRDefault="00177C11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177C11" w:rsidRDefault="00177C11" w:rsidP="000F5922">
            <w:pPr>
              <w:pStyle w:val="FactSheetBody"/>
              <w:spacing w:after="60"/>
            </w:pPr>
          </w:p>
        </w:tc>
      </w:tr>
      <w:tr w:rsidR="0007181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07181E" w:rsidRDefault="001D46B9" w:rsidP="006A1F7E">
            <w:pPr>
              <w:pStyle w:val="FactSheetBody"/>
              <w:numPr>
                <w:ilvl w:val="0"/>
                <w:numId w:val="5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Principles for Load Customers</w:t>
            </w:r>
            <w:r w:rsidR="008A0A7C">
              <w:rPr>
                <w:b/>
                <w:i/>
              </w:rPr>
              <w:t xml:space="preserve"> (Slide 1</w:t>
            </w:r>
            <w:r w:rsidR="00177C11">
              <w:rPr>
                <w:b/>
                <w:i/>
              </w:rPr>
              <w:t>3</w:t>
            </w:r>
            <w:r w:rsidR="008A0A7C">
              <w:rPr>
                <w:b/>
                <w:i/>
              </w:rPr>
              <w:t>)</w:t>
            </w:r>
            <w:r w:rsidR="0007181E">
              <w:rPr>
                <w:b/>
                <w:i/>
              </w:rPr>
              <w:t>:</w:t>
            </w:r>
          </w:p>
          <w:p w:rsidR="0007181E" w:rsidRDefault="001D46B9" w:rsidP="006A1F7E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Provide a price signal</w:t>
            </w:r>
            <w:r w:rsidR="0007181E">
              <w:rPr>
                <w:b/>
                <w:i/>
              </w:rPr>
              <w:t>;</w:t>
            </w:r>
          </w:p>
          <w:p w:rsidR="001D46B9" w:rsidRDefault="001D46B9" w:rsidP="006A1F7E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System transmission facilities are not built as the result of a connection(s) not proceeding; and</w:t>
            </w:r>
          </w:p>
          <w:p w:rsidR="0007181E" w:rsidRPr="0007181E" w:rsidRDefault="00177C11" w:rsidP="006A1F7E">
            <w:pPr>
              <w:pStyle w:val="FactSheetBody"/>
              <w:numPr>
                <w:ilvl w:val="0"/>
                <w:numId w:val="9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Alignment with Commission’s issue list (Proceeding 20922)</w:t>
            </w:r>
            <w:r w:rsidR="0007181E">
              <w:rPr>
                <w:b/>
                <w:i/>
              </w:rPr>
              <w:t>.</w:t>
            </w:r>
          </w:p>
        </w:tc>
      </w:tr>
      <w:tr w:rsidR="0007181E" w:rsidTr="006A1F7E">
        <w:tc>
          <w:tcPr>
            <w:tcW w:w="9389" w:type="dxa"/>
            <w:gridSpan w:val="2"/>
            <w:shd w:val="clear" w:color="auto" w:fill="auto"/>
          </w:tcPr>
          <w:p w:rsidR="0007181E" w:rsidRDefault="0007181E" w:rsidP="000F5922">
            <w:pPr>
              <w:pStyle w:val="FactSheetBody"/>
              <w:spacing w:after="60"/>
            </w:pPr>
            <w:r>
              <w:t>Stakeholder Comments:</w:t>
            </w:r>
          </w:p>
          <w:p w:rsidR="0007181E" w:rsidRDefault="0007181E" w:rsidP="000F5922">
            <w:pPr>
              <w:pStyle w:val="FactSheetBody"/>
              <w:spacing w:after="60"/>
            </w:pPr>
          </w:p>
        </w:tc>
      </w:tr>
      <w:tr w:rsidR="0007181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793480" w:rsidRDefault="00793480" w:rsidP="00793480">
            <w:pPr>
              <w:pStyle w:val="FactSheetBody"/>
              <w:numPr>
                <w:ilvl w:val="0"/>
                <w:numId w:val="5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System transmission facilities required for a load connection</w:t>
            </w:r>
            <w:r w:rsidR="008A0A7C">
              <w:rPr>
                <w:b/>
                <w:i/>
              </w:rPr>
              <w:t xml:space="preserve"> (Slide</w:t>
            </w:r>
            <w:r w:rsidR="00B07992">
              <w:rPr>
                <w:b/>
                <w:i/>
              </w:rPr>
              <w:t>s</w:t>
            </w:r>
            <w:r w:rsidR="008A0A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14-1</w:t>
            </w:r>
            <w:r w:rsidR="00273023">
              <w:rPr>
                <w:b/>
                <w:i/>
              </w:rPr>
              <w:t>9</w:t>
            </w:r>
            <w:r w:rsidR="008A0A7C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  <w:p w:rsidR="0007181E" w:rsidRDefault="00793480" w:rsidP="00273023">
            <w:pPr>
              <w:pStyle w:val="FactSheetBody"/>
              <w:numPr>
                <w:ilvl w:val="0"/>
                <w:numId w:val="17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Alternative selection for load connections (Slide 15);</w:t>
            </w:r>
          </w:p>
          <w:p w:rsidR="00793480" w:rsidRDefault="00793480" w:rsidP="00273023">
            <w:pPr>
              <w:pStyle w:val="FactSheetBody"/>
              <w:numPr>
                <w:ilvl w:val="0"/>
                <w:numId w:val="17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Market participant can wait for system or pay certainty charge/refund (Slide 16);</w:t>
            </w:r>
          </w:p>
          <w:p w:rsidR="00793480" w:rsidRDefault="00793480" w:rsidP="00273023">
            <w:pPr>
              <w:pStyle w:val="FactSheetBody"/>
              <w:numPr>
                <w:ilvl w:val="0"/>
                <w:numId w:val="17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“Refundable deposit” – What does it provide for the AESO? (Slide 17);</w:t>
            </w:r>
          </w:p>
          <w:p w:rsidR="00793480" w:rsidRDefault="00793480" w:rsidP="00273023">
            <w:pPr>
              <w:pStyle w:val="FactSheetBody"/>
              <w:numPr>
                <w:ilvl w:val="0"/>
                <w:numId w:val="17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Pros and cons – “refundable deposit” (Slide 18);</w:t>
            </w:r>
            <w:r w:rsidR="00273023">
              <w:rPr>
                <w:b/>
                <w:i/>
              </w:rPr>
              <w:t xml:space="preserve"> and</w:t>
            </w:r>
          </w:p>
          <w:p w:rsidR="00273023" w:rsidRPr="00793480" w:rsidRDefault="00273023" w:rsidP="00273023">
            <w:pPr>
              <w:pStyle w:val="FactSheetBody"/>
              <w:numPr>
                <w:ilvl w:val="0"/>
                <w:numId w:val="17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Options (Slide 19)</w:t>
            </w:r>
          </w:p>
        </w:tc>
      </w:tr>
      <w:tr w:rsidR="0007181E" w:rsidTr="006A1F7E">
        <w:tc>
          <w:tcPr>
            <w:tcW w:w="9389" w:type="dxa"/>
            <w:gridSpan w:val="2"/>
            <w:shd w:val="clear" w:color="auto" w:fill="auto"/>
          </w:tcPr>
          <w:p w:rsidR="0007181E" w:rsidRDefault="0007181E" w:rsidP="000F5922">
            <w:pPr>
              <w:pStyle w:val="FactSheetBody"/>
              <w:spacing w:after="60"/>
            </w:pPr>
            <w:r>
              <w:t>Stakeholder Comments:</w:t>
            </w:r>
          </w:p>
          <w:p w:rsidR="0007181E" w:rsidRDefault="0007181E" w:rsidP="000F5922">
            <w:pPr>
              <w:pStyle w:val="FactSheetBody"/>
              <w:spacing w:after="60"/>
            </w:pPr>
          </w:p>
        </w:tc>
      </w:tr>
      <w:tr w:rsidR="0007181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07181E" w:rsidRDefault="00273023" w:rsidP="00273023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Alternative selection </w:t>
            </w:r>
            <w:r w:rsidR="00B07992">
              <w:rPr>
                <w:b/>
                <w:i/>
              </w:rPr>
              <w:t>e</w:t>
            </w:r>
            <w:r>
              <w:rPr>
                <w:b/>
                <w:i/>
              </w:rPr>
              <w:t>xample</w:t>
            </w:r>
            <w:r w:rsidR="00DA0132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 xml:space="preserve"> – “lowest overall costs” </w:t>
            </w:r>
            <w:r w:rsidR="00793480">
              <w:rPr>
                <w:b/>
                <w:i/>
              </w:rPr>
              <w:t>(Slide</w:t>
            </w:r>
            <w:r>
              <w:rPr>
                <w:b/>
                <w:i/>
              </w:rPr>
              <w:t>s</w:t>
            </w:r>
            <w:r w:rsidR="008A0A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20-23</w:t>
            </w:r>
            <w:r w:rsidR="008A0A7C">
              <w:rPr>
                <w:b/>
                <w:i/>
              </w:rPr>
              <w:t>)</w:t>
            </w:r>
            <w:r w:rsidR="0007181E">
              <w:rPr>
                <w:b/>
                <w:i/>
              </w:rPr>
              <w:t>:</w:t>
            </w:r>
          </w:p>
          <w:p w:rsidR="0007181E" w:rsidRDefault="00DA0132" w:rsidP="006A1F7E">
            <w:pPr>
              <w:pStyle w:val="FactSheetBody"/>
              <w:numPr>
                <w:ilvl w:val="0"/>
                <w:numId w:val="11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 xml:space="preserve">Diagram - </w:t>
            </w:r>
            <w:r w:rsidR="00273023">
              <w:rPr>
                <w:b/>
                <w:i/>
              </w:rPr>
              <w:t>Alternative 1 is “lowest overall costs” (Slide 20);</w:t>
            </w:r>
          </w:p>
          <w:p w:rsidR="00273023" w:rsidRDefault="00DA0132" w:rsidP="006A1F7E">
            <w:pPr>
              <w:pStyle w:val="FactSheetBody"/>
              <w:numPr>
                <w:ilvl w:val="0"/>
                <w:numId w:val="11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 xml:space="preserve">Diagram - </w:t>
            </w:r>
            <w:r w:rsidR="00273023">
              <w:rPr>
                <w:b/>
                <w:i/>
              </w:rPr>
              <w:t>Alternative 2 is “lowest overall costs” (Slide 21); and</w:t>
            </w:r>
          </w:p>
          <w:p w:rsidR="00273023" w:rsidRPr="0007181E" w:rsidRDefault="00DA0132" w:rsidP="006A1F7E">
            <w:pPr>
              <w:pStyle w:val="FactSheetBody"/>
              <w:numPr>
                <w:ilvl w:val="0"/>
                <w:numId w:val="11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 xml:space="preserve">Diagrams - </w:t>
            </w:r>
            <w:r w:rsidR="00273023">
              <w:rPr>
                <w:b/>
                <w:i/>
              </w:rPr>
              <w:t>Other examples (not discussed) (Slides 22-23).</w:t>
            </w:r>
          </w:p>
        </w:tc>
      </w:tr>
      <w:tr w:rsidR="0007181E" w:rsidTr="006A1F7E">
        <w:tc>
          <w:tcPr>
            <w:tcW w:w="9389" w:type="dxa"/>
            <w:gridSpan w:val="2"/>
            <w:shd w:val="clear" w:color="auto" w:fill="auto"/>
          </w:tcPr>
          <w:p w:rsidR="0007181E" w:rsidRDefault="0007181E" w:rsidP="000F5922">
            <w:pPr>
              <w:pStyle w:val="FactSheetBody"/>
              <w:spacing w:after="60"/>
            </w:pPr>
            <w:r>
              <w:t>Stakeholder Comments:</w:t>
            </w:r>
          </w:p>
          <w:p w:rsidR="0007181E" w:rsidRDefault="0007181E" w:rsidP="000F5922">
            <w:pPr>
              <w:pStyle w:val="FactSheetBody"/>
              <w:spacing w:after="60"/>
            </w:pPr>
          </w:p>
        </w:tc>
      </w:tr>
      <w:tr w:rsidR="00067515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067515" w:rsidRDefault="00273023" w:rsidP="00793480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Changes to Sections 4, 5, 8 &amp;</w:t>
            </w:r>
            <w:r w:rsidR="00B0799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9: What are we proposing to add?</w:t>
            </w:r>
            <w:r w:rsidR="00E54BEB">
              <w:rPr>
                <w:b/>
                <w:i/>
              </w:rPr>
              <w:t xml:space="preserve"> </w:t>
            </w:r>
            <w:r w:rsidR="00012B1D">
              <w:rPr>
                <w:b/>
                <w:i/>
              </w:rPr>
              <w:t>(Slide</w:t>
            </w:r>
            <w:r>
              <w:rPr>
                <w:b/>
                <w:i/>
              </w:rPr>
              <w:t>s</w:t>
            </w:r>
            <w:r w:rsidR="00012B1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24-25</w:t>
            </w:r>
            <w:r w:rsidR="00012B1D">
              <w:rPr>
                <w:b/>
                <w:i/>
              </w:rPr>
              <w:t>):</w:t>
            </w:r>
          </w:p>
          <w:p w:rsidR="00E54BEB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New provisions that identify how the AESO will determine the preferred alternative;</w:t>
            </w:r>
          </w:p>
          <w:p w:rsidR="00E54BEB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Revised practices for system access (to replace the AESO’s “Practices for System Access Service”);</w:t>
            </w:r>
          </w:p>
          <w:p w:rsidR="00067515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Defining and enforcing critical requirements for a SASR;</w:t>
            </w:r>
          </w:p>
          <w:p w:rsidR="00273023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Identify when connection projects give us “sufficient certainty” that they will materialize;</w:t>
            </w:r>
          </w:p>
          <w:p w:rsidR="00273023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New provisions around advancement costs and “accelerated construction” charges;</w:t>
            </w:r>
          </w:p>
          <w:p w:rsidR="00273023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Differentiation between generation and load;</w:t>
            </w:r>
          </w:p>
          <w:p w:rsidR="00273023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“Shared with system” cost provisions; and</w:t>
            </w:r>
          </w:p>
          <w:p w:rsidR="00273023" w:rsidRPr="00E54BEB" w:rsidRDefault="00273023" w:rsidP="00273023">
            <w:pPr>
              <w:pStyle w:val="FactSheetBody"/>
              <w:numPr>
                <w:ilvl w:val="1"/>
                <w:numId w:val="18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Connections that are initially radial are 100% participant-related costs, to be “shared” if loop is closed.</w:t>
            </w:r>
          </w:p>
        </w:tc>
      </w:tr>
      <w:tr w:rsidR="00067515" w:rsidTr="006A1F7E">
        <w:tc>
          <w:tcPr>
            <w:tcW w:w="9389" w:type="dxa"/>
            <w:gridSpan w:val="2"/>
            <w:shd w:val="clear" w:color="auto" w:fill="auto"/>
          </w:tcPr>
          <w:p w:rsidR="00067515" w:rsidRDefault="00067515" w:rsidP="000F5922">
            <w:pPr>
              <w:pStyle w:val="FactSheetBody"/>
              <w:spacing w:after="60"/>
            </w:pPr>
            <w:r>
              <w:t>Stakeholder Comments:</w:t>
            </w:r>
          </w:p>
          <w:p w:rsidR="00067515" w:rsidRDefault="00067515" w:rsidP="000F5922">
            <w:pPr>
              <w:pStyle w:val="FactSheetBody"/>
              <w:spacing w:after="60"/>
            </w:pPr>
          </w:p>
        </w:tc>
      </w:tr>
      <w:tr w:rsidR="00E54BEB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E54BEB" w:rsidRDefault="003C2E9C" w:rsidP="00793480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Changes to Sections 4, 5, 8 &amp; 9: What are proposing to revise/remove? (Slide</w:t>
            </w:r>
            <w:r w:rsidR="00E54BE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6</w:t>
            </w:r>
            <w:r w:rsidR="00E54BEB">
              <w:rPr>
                <w:b/>
                <w:i/>
              </w:rPr>
              <w:t>):</w:t>
            </w:r>
          </w:p>
          <w:p w:rsidR="003C2E9C" w:rsidRDefault="003C2E9C" w:rsidP="003C2E9C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Remove any provisions that are duplicative of the legislation, </w:t>
            </w:r>
            <w:r w:rsidR="00B07992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ules, </w:t>
            </w:r>
            <w:r w:rsidR="00B07992">
              <w:rPr>
                <w:b/>
                <w:i/>
              </w:rPr>
              <w:t>&amp; r</w:t>
            </w:r>
            <w:r>
              <w:rPr>
                <w:b/>
                <w:i/>
              </w:rPr>
              <w:t xml:space="preserve">eliability </w:t>
            </w:r>
            <w:r w:rsidR="00B07992">
              <w:rPr>
                <w:b/>
                <w:i/>
              </w:rPr>
              <w:t>s</w:t>
            </w:r>
            <w:r>
              <w:rPr>
                <w:b/>
                <w:i/>
              </w:rPr>
              <w:t>tandards;</w:t>
            </w:r>
          </w:p>
          <w:p w:rsidR="003C2E9C" w:rsidRDefault="00BA70E6" w:rsidP="003C2E9C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Remove “contiguous”</w:t>
            </w:r>
            <w:r w:rsidR="003C2E9C">
              <w:rPr>
                <w:b/>
                <w:i/>
              </w:rPr>
              <w:t xml:space="preserve"> in Section 8 referring to a “contiguous” connection project;</w:t>
            </w:r>
          </w:p>
          <w:p w:rsidR="003C2E9C" w:rsidRDefault="003C2E9C" w:rsidP="003C2E9C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Remove provision referring to “planned to be looped” as system-related cost;</w:t>
            </w:r>
          </w:p>
          <w:p w:rsidR="003C2E9C" w:rsidRDefault="003C2E9C" w:rsidP="003C2E9C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Remove connection process references; and</w:t>
            </w:r>
          </w:p>
          <w:p w:rsidR="00A433AE" w:rsidRPr="003C2E9C" w:rsidRDefault="003C2E9C" w:rsidP="003C2E9C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Revisit the “Good Electric Industry Practice” to reflect the AESO’s minimum requirements.</w:t>
            </w:r>
          </w:p>
        </w:tc>
      </w:tr>
      <w:tr w:rsidR="00067515" w:rsidTr="006A1F7E">
        <w:tc>
          <w:tcPr>
            <w:tcW w:w="9389" w:type="dxa"/>
            <w:gridSpan w:val="2"/>
            <w:shd w:val="clear" w:color="auto" w:fill="auto"/>
          </w:tcPr>
          <w:p w:rsidR="00067515" w:rsidRDefault="00067515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067515" w:rsidRDefault="00067515" w:rsidP="000F5922">
            <w:pPr>
              <w:pStyle w:val="FactSheetBody"/>
              <w:spacing w:after="60"/>
            </w:pPr>
          </w:p>
        </w:tc>
      </w:tr>
      <w:tr w:rsidR="003C2E9C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3C2E9C" w:rsidRDefault="003C2E9C" w:rsidP="000F5922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Other terms and conditions proposals (Slides 27-29):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 – Applicability and interpretation of ISO Tariff</w:t>
            </w:r>
            <w:r w:rsidR="00B07992">
              <w:rPr>
                <w:b/>
                <w:i/>
              </w:rPr>
              <w:t>;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Legal Review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Ensure no duplication of legislation, rules,</w:t>
            </w:r>
            <w:r w:rsidR="00B07992">
              <w:rPr>
                <w:b/>
                <w:i/>
              </w:rPr>
              <w:t xml:space="preserve"> or</w:t>
            </w:r>
            <w:r>
              <w:rPr>
                <w:b/>
                <w:i/>
              </w:rPr>
              <w:t xml:space="preserve"> reliability standards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2 – Provision of and Limitations to System Access Service (may merge Sections 2 – 4)</w:t>
            </w:r>
            <w:r w:rsidR="00B07992">
              <w:rPr>
                <w:b/>
                <w:i/>
              </w:rPr>
              <w:t>;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Make distinction between load and generation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Add t-tap expectation of service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Remove outage provisions (covered in ISO rules)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3 – System Access Service Connection Requirements (may merge Sections 2-4);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Remove technical requirements (covered in ISO rules)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Move compliance requirements to Section 2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5 – Financial Obligations for Connection Projects</w:t>
            </w:r>
            <w:r w:rsidR="00B07992">
              <w:rPr>
                <w:b/>
                <w:i/>
              </w:rPr>
              <w:t>;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Legal review</w:t>
            </w:r>
          </w:p>
          <w:p w:rsidR="003C2E9C" w:rsidRDefault="003C2E9C" w:rsidP="003C2E9C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Ensure no duplication of other authoritative documents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6 – Metering</w:t>
            </w:r>
            <w:r w:rsidR="00B07992">
              <w:rPr>
                <w:b/>
                <w:i/>
              </w:rPr>
              <w:t>;</w:t>
            </w:r>
          </w:p>
          <w:p w:rsidR="00DA0132" w:rsidRDefault="00DA0132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Remove altogether, covered in ISO rules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7 – Provision of Information;</w:t>
            </w:r>
          </w:p>
          <w:p w:rsidR="00DA0132" w:rsidRDefault="00DA0132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Review for duplication of authoritative documents and legislation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10 – Generating Unit Owners Contribution</w:t>
            </w:r>
            <w:r w:rsidR="00B07992">
              <w:rPr>
                <w:b/>
                <w:i/>
              </w:rPr>
              <w:t>;</w:t>
            </w:r>
          </w:p>
          <w:p w:rsidR="00DA0132" w:rsidRDefault="00DA0132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Add GUOC rates to the ISO tariff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11 – Ancillary Services</w:t>
            </w:r>
            <w:r w:rsidR="00B07992">
              <w:rPr>
                <w:b/>
                <w:i/>
              </w:rPr>
              <w:t>;</w:t>
            </w:r>
          </w:p>
          <w:p w:rsidR="00DA0132" w:rsidRDefault="00DA0132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No changes proposed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12 – Demand Opportunity Service</w:t>
            </w:r>
            <w:r w:rsidR="00B07992">
              <w:rPr>
                <w:b/>
                <w:i/>
              </w:rPr>
              <w:t>;</w:t>
            </w:r>
          </w:p>
          <w:p w:rsidR="00DA0132" w:rsidRDefault="00DA0132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No changes proposed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13 – Financial Security, Settlement and Payment Terms</w:t>
            </w:r>
            <w:r w:rsidR="00B07992">
              <w:rPr>
                <w:b/>
                <w:i/>
              </w:rPr>
              <w:t>;</w:t>
            </w:r>
          </w:p>
          <w:p w:rsidR="003C2E9C" w:rsidRDefault="003C2E9C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Duplication with ISO rules?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14 – Peak Metered Demand Waivers; and</w:t>
            </w:r>
          </w:p>
          <w:p w:rsidR="003C2E9C" w:rsidRDefault="003C2E9C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No changes proposed</w:t>
            </w:r>
          </w:p>
          <w:p w:rsidR="003C2E9C" w:rsidRDefault="003C2E9C" w:rsidP="000F5922">
            <w:pPr>
              <w:pStyle w:val="FactSheetBody"/>
              <w:numPr>
                <w:ilvl w:val="0"/>
                <w:numId w:val="22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Section 15 - Miscellaneous;</w:t>
            </w:r>
          </w:p>
          <w:p w:rsidR="003C2E9C" w:rsidRPr="003C2E9C" w:rsidRDefault="003C2E9C" w:rsidP="00DA0132">
            <w:pPr>
              <w:pStyle w:val="FactSheetBody"/>
              <w:numPr>
                <w:ilvl w:val="1"/>
                <w:numId w:val="22"/>
              </w:numPr>
              <w:spacing w:after="60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Confirm with legal review.</w:t>
            </w:r>
          </w:p>
        </w:tc>
      </w:tr>
      <w:tr w:rsidR="003C2E9C" w:rsidTr="000F5922">
        <w:tc>
          <w:tcPr>
            <w:tcW w:w="9389" w:type="dxa"/>
            <w:gridSpan w:val="2"/>
            <w:shd w:val="clear" w:color="auto" w:fill="auto"/>
          </w:tcPr>
          <w:p w:rsidR="003C2E9C" w:rsidRDefault="003C2E9C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3C2E9C" w:rsidRDefault="003C2E9C" w:rsidP="000F5922">
            <w:pPr>
              <w:pStyle w:val="FactSheetBody"/>
              <w:spacing w:after="60"/>
            </w:pPr>
          </w:p>
        </w:tc>
      </w:tr>
      <w:tr w:rsidR="00A433A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A433AE" w:rsidRDefault="00DA0132" w:rsidP="00793480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 w:rsidRPr="00DA0132">
              <w:rPr>
                <w:b/>
                <w:i/>
              </w:rPr>
              <w:t>Workshop Slides</w:t>
            </w:r>
            <w:r w:rsidR="00A433AE" w:rsidRPr="00DA0132">
              <w:rPr>
                <w:b/>
                <w:i/>
              </w:rPr>
              <w:t xml:space="preserve"> (</w:t>
            </w:r>
            <w:r w:rsidR="00A433AE">
              <w:rPr>
                <w:b/>
                <w:i/>
              </w:rPr>
              <w:t>Slide</w:t>
            </w:r>
            <w:r>
              <w:rPr>
                <w:b/>
                <w:i/>
              </w:rPr>
              <w:t>s</w:t>
            </w:r>
            <w:r w:rsidR="00A433A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30-36</w:t>
            </w:r>
            <w:r w:rsidR="00A433AE">
              <w:rPr>
                <w:b/>
                <w:i/>
              </w:rPr>
              <w:t>):</w:t>
            </w:r>
          </w:p>
          <w:p w:rsidR="00A433AE" w:rsidRDefault="00B07992" w:rsidP="00DA0132">
            <w:pPr>
              <w:pStyle w:val="FactSheetBody"/>
              <w:numPr>
                <w:ilvl w:val="1"/>
                <w:numId w:val="23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="00DA0132">
              <w:rPr>
                <w:b/>
                <w:i/>
              </w:rPr>
              <w:t>epeated from Slides 20-21 (Slides 31-32)</w:t>
            </w:r>
            <w:r w:rsidR="00A433AE">
              <w:rPr>
                <w:b/>
                <w:i/>
              </w:rPr>
              <w:t>;</w:t>
            </w:r>
          </w:p>
          <w:p w:rsidR="00A433AE" w:rsidRDefault="00DA0132" w:rsidP="00DA0132">
            <w:pPr>
              <w:pStyle w:val="FactSheetBody"/>
              <w:numPr>
                <w:ilvl w:val="1"/>
                <w:numId w:val="23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Example 1 background, area load, and area load forecasts (Slide 33)</w:t>
            </w:r>
            <w:r w:rsidR="00A433AE">
              <w:rPr>
                <w:b/>
                <w:i/>
              </w:rPr>
              <w:t>;</w:t>
            </w:r>
          </w:p>
          <w:p w:rsidR="00A433AE" w:rsidRDefault="00DA0132" w:rsidP="00DA0132">
            <w:pPr>
              <w:pStyle w:val="FactSheetBody"/>
              <w:numPr>
                <w:ilvl w:val="1"/>
                <w:numId w:val="23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Example 2 diagram and background (Slide 34); and</w:t>
            </w:r>
          </w:p>
          <w:p w:rsidR="00A433AE" w:rsidRPr="00A433AE" w:rsidRDefault="00DA0132" w:rsidP="00DA0132">
            <w:pPr>
              <w:pStyle w:val="FactSheetBody"/>
              <w:numPr>
                <w:ilvl w:val="1"/>
                <w:numId w:val="23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Example 2 area load and area load forecasts (Slide 35)</w:t>
            </w:r>
            <w:r w:rsidR="00A433AE">
              <w:rPr>
                <w:b/>
                <w:i/>
              </w:rPr>
              <w:t>.</w:t>
            </w:r>
          </w:p>
        </w:tc>
      </w:tr>
      <w:tr w:rsidR="00A433AE" w:rsidTr="006A1F7E">
        <w:tc>
          <w:tcPr>
            <w:tcW w:w="9389" w:type="dxa"/>
            <w:gridSpan w:val="2"/>
            <w:shd w:val="clear" w:color="auto" w:fill="auto"/>
          </w:tcPr>
          <w:p w:rsidR="00A433AE" w:rsidRDefault="00A433AE" w:rsidP="000F5922">
            <w:pPr>
              <w:pStyle w:val="FactSheetBody"/>
              <w:spacing w:after="60"/>
            </w:pPr>
            <w:r>
              <w:t>Stakeholder Comments:</w:t>
            </w:r>
          </w:p>
          <w:p w:rsidR="00A433AE" w:rsidRDefault="00A433AE" w:rsidP="000F5922">
            <w:pPr>
              <w:pStyle w:val="FactSheetBody"/>
              <w:spacing w:after="60"/>
            </w:pPr>
          </w:p>
        </w:tc>
      </w:tr>
      <w:tr w:rsidR="00A433A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A433AE" w:rsidRPr="00DA0132" w:rsidRDefault="00DA0132" w:rsidP="00DA0132">
            <w:pPr>
              <w:pStyle w:val="FactSheetBody"/>
              <w:numPr>
                <w:ilvl w:val="0"/>
                <w:numId w:val="16"/>
              </w:numPr>
              <w:spacing w:after="60"/>
              <w:ind w:left="360"/>
              <w:rPr>
                <w:b/>
                <w:i/>
              </w:rPr>
            </w:pPr>
            <w:r w:rsidRPr="00DA0132">
              <w:rPr>
                <w:b/>
                <w:i/>
              </w:rPr>
              <w:t>Terms and Conditions’ Changes</w:t>
            </w:r>
            <w:r w:rsidR="00A433AE" w:rsidRPr="00DA0132">
              <w:rPr>
                <w:b/>
                <w:i/>
              </w:rPr>
              <w:t xml:space="preserve"> </w:t>
            </w:r>
            <w:r w:rsidR="00A433AE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Next Steps (Slide 36</w:t>
            </w:r>
            <w:r w:rsidR="00A433AE">
              <w:rPr>
                <w:b/>
                <w:i/>
              </w:rPr>
              <w:t>):</w:t>
            </w:r>
          </w:p>
          <w:p w:rsidR="00A433AE" w:rsidRDefault="00DA0132" w:rsidP="00DA0132">
            <w:pPr>
              <w:pStyle w:val="FactSheetBody"/>
              <w:numPr>
                <w:ilvl w:val="0"/>
                <w:numId w:val="25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Allow stakeholders to review presentation and concepts, and provide feedback;</w:t>
            </w:r>
          </w:p>
          <w:p w:rsidR="00DA0132" w:rsidRPr="00A433AE" w:rsidRDefault="00DA0132" w:rsidP="00DA0132">
            <w:pPr>
              <w:pStyle w:val="FactSheetBody"/>
              <w:numPr>
                <w:ilvl w:val="0"/>
                <w:numId w:val="25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Prepare application with revised terms and conditions.</w:t>
            </w:r>
          </w:p>
        </w:tc>
      </w:tr>
      <w:tr w:rsidR="00067515" w:rsidTr="006A1F7E">
        <w:tc>
          <w:tcPr>
            <w:tcW w:w="9389" w:type="dxa"/>
            <w:gridSpan w:val="2"/>
            <w:shd w:val="clear" w:color="auto" w:fill="auto"/>
          </w:tcPr>
          <w:p w:rsidR="00067515" w:rsidRDefault="00067515" w:rsidP="000F5922">
            <w:pPr>
              <w:pStyle w:val="FactSheetBody"/>
              <w:spacing w:after="60"/>
            </w:pPr>
            <w:r>
              <w:t>Stakeholder Comments:</w:t>
            </w:r>
          </w:p>
          <w:p w:rsidR="00067515" w:rsidRDefault="00067515" w:rsidP="000F5922">
            <w:pPr>
              <w:pStyle w:val="FactSheetBody"/>
              <w:spacing w:after="60"/>
            </w:pPr>
          </w:p>
        </w:tc>
      </w:tr>
      <w:tr w:rsidR="00DA0132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DA0132" w:rsidRPr="005132C9" w:rsidRDefault="00DA0132" w:rsidP="00F32A08">
            <w:pPr>
              <w:pStyle w:val="FactSheetBody"/>
              <w:numPr>
                <w:ilvl w:val="0"/>
                <w:numId w:val="4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POD Cost</w:t>
            </w:r>
            <w:r w:rsidR="00F32A08">
              <w:rPr>
                <w:b/>
                <w:i/>
              </w:rPr>
              <w:t xml:space="preserve"> Function Database</w:t>
            </w:r>
            <w:r>
              <w:rPr>
                <w:b/>
                <w:i/>
              </w:rPr>
              <w:br/>
              <w:t>(Slides 3</w:t>
            </w:r>
            <w:r w:rsidR="00F32A08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– </w:t>
            </w:r>
            <w:r w:rsidR="00F32A08">
              <w:rPr>
                <w:b/>
                <w:i/>
              </w:rPr>
              <w:t>46</w:t>
            </w:r>
            <w:r>
              <w:rPr>
                <w:b/>
                <w:i/>
              </w:rPr>
              <w:t>)</w:t>
            </w:r>
          </w:p>
        </w:tc>
      </w:tr>
      <w:tr w:rsidR="00534062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534062" w:rsidRDefault="00F32A08" w:rsidP="00F32A08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POD cost function database input into cost curves</w:t>
            </w:r>
            <w:r w:rsidR="00CC29AE">
              <w:rPr>
                <w:b/>
                <w:i/>
              </w:rPr>
              <w:t xml:space="preserve"> and options</w:t>
            </w:r>
            <w:r>
              <w:rPr>
                <w:b/>
                <w:i/>
              </w:rPr>
              <w:t xml:space="preserve"> (Slide</w:t>
            </w:r>
            <w:r w:rsidR="00CC29AE">
              <w:rPr>
                <w:b/>
                <w:i/>
              </w:rPr>
              <w:t>s</w:t>
            </w:r>
            <w:r w:rsidR="0053406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38</w:t>
            </w:r>
            <w:r w:rsidR="00CC29AE">
              <w:rPr>
                <w:b/>
                <w:i/>
              </w:rPr>
              <w:t>-39</w:t>
            </w:r>
            <w:r w:rsidR="00534062">
              <w:rPr>
                <w:b/>
                <w:i/>
              </w:rPr>
              <w:t>):</w:t>
            </w:r>
          </w:p>
          <w:p w:rsidR="00534062" w:rsidRDefault="00CC29AE" w:rsidP="00CC29AE">
            <w:pPr>
              <w:pStyle w:val="FactSheetBody"/>
              <w:numPr>
                <w:ilvl w:val="1"/>
                <w:numId w:val="26"/>
              </w:numPr>
              <w:spacing w:after="60"/>
              <w:rPr>
                <w:b/>
                <w:i/>
              </w:rPr>
            </w:pPr>
            <w:r w:rsidRPr="00CC29AE">
              <w:rPr>
                <w:b/>
                <w:i/>
              </w:rPr>
              <w:t>AESO was directed to “use ‘Greenfield and Update Excluding 0 MW’ until the matter can be thoroughly explored”</w:t>
            </w:r>
            <w:r>
              <w:rPr>
                <w:b/>
                <w:i/>
              </w:rPr>
              <w:t xml:space="preserve"> (Slide 38);</w:t>
            </w:r>
          </w:p>
          <w:p w:rsidR="00CC29AE" w:rsidRPr="00CC29AE" w:rsidRDefault="00CC29AE" w:rsidP="00CC29AE">
            <w:pPr>
              <w:pStyle w:val="FactSheetBody"/>
              <w:numPr>
                <w:ilvl w:val="1"/>
                <w:numId w:val="26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AESO thoroughly exploring four options (Slide 39).</w:t>
            </w:r>
          </w:p>
        </w:tc>
      </w:tr>
      <w:tr w:rsidR="00534062" w:rsidTr="006A1F7E">
        <w:tc>
          <w:tcPr>
            <w:tcW w:w="9389" w:type="dxa"/>
            <w:gridSpan w:val="2"/>
            <w:shd w:val="clear" w:color="auto" w:fill="auto"/>
          </w:tcPr>
          <w:p w:rsidR="00534062" w:rsidRDefault="00534062" w:rsidP="000F5922">
            <w:pPr>
              <w:pStyle w:val="FactSheetBody"/>
              <w:spacing w:after="60"/>
            </w:pPr>
            <w:r>
              <w:t>Stakeholder Comments:</w:t>
            </w:r>
          </w:p>
          <w:p w:rsidR="00534062" w:rsidRDefault="00534062" w:rsidP="000F5922">
            <w:pPr>
              <w:pStyle w:val="FactSheetBody"/>
              <w:spacing w:after="60"/>
            </w:pPr>
          </w:p>
        </w:tc>
      </w:tr>
      <w:tr w:rsidR="00534062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534062" w:rsidRDefault="00CC29AE" w:rsidP="00F32A08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Comparison of options to existing (2014 ISO Tariff) Cost Function Curve</w:t>
            </w:r>
            <w:r w:rsidR="00534062">
              <w:rPr>
                <w:b/>
                <w:i/>
              </w:rPr>
              <w:t xml:space="preserve"> (Slide </w:t>
            </w:r>
            <w:r>
              <w:rPr>
                <w:b/>
                <w:i/>
              </w:rPr>
              <w:t>40</w:t>
            </w:r>
            <w:r w:rsidR="00534062">
              <w:rPr>
                <w:b/>
                <w:i/>
              </w:rPr>
              <w:t>):</w:t>
            </w:r>
          </w:p>
          <w:p w:rsidR="00534062" w:rsidRDefault="00534062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A433AE" w:rsidRDefault="00CC29AE" w:rsidP="00CC29AE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22ECB905" wp14:editId="6E82A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-2557145</wp:posOffset>
                  </wp:positionV>
                  <wp:extent cx="4067175" cy="2683403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68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4062" w:rsidTr="006A1F7E">
        <w:tc>
          <w:tcPr>
            <w:tcW w:w="9389" w:type="dxa"/>
            <w:gridSpan w:val="2"/>
            <w:shd w:val="clear" w:color="auto" w:fill="auto"/>
          </w:tcPr>
          <w:p w:rsidR="00534062" w:rsidRDefault="00534062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534062" w:rsidRDefault="00534062" w:rsidP="000F5922">
            <w:pPr>
              <w:pStyle w:val="FactSheetBody"/>
              <w:spacing w:after="60"/>
            </w:pPr>
          </w:p>
        </w:tc>
      </w:tr>
      <w:tr w:rsidR="00CC29AE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CC29AE" w:rsidRPr="00CC29AE" w:rsidRDefault="00CC29AE" w:rsidP="000F5922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 w:rsidRPr="00CC29AE">
              <w:rPr>
                <w:b/>
                <w:i/>
              </w:rPr>
              <w:t>Comparison of options shape (Slide 41):</w:t>
            </w: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5905625" wp14:editId="2D458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-2292985</wp:posOffset>
                  </wp:positionV>
                  <wp:extent cx="3657292" cy="2412975"/>
                  <wp:effectExtent l="0" t="0" r="63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292" cy="241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29AE" w:rsidTr="000F5922">
        <w:tc>
          <w:tcPr>
            <w:tcW w:w="9389" w:type="dxa"/>
            <w:gridSpan w:val="2"/>
            <w:shd w:val="clear" w:color="auto" w:fill="auto"/>
          </w:tcPr>
          <w:p w:rsidR="00CC29AE" w:rsidRDefault="00CC29AE" w:rsidP="000F5922">
            <w:pPr>
              <w:pStyle w:val="FactSheetBody"/>
              <w:spacing w:after="60"/>
            </w:pPr>
            <w:r>
              <w:t>Stakeholder Comments:</w:t>
            </w:r>
          </w:p>
          <w:p w:rsidR="00CC29AE" w:rsidRDefault="00CC29AE" w:rsidP="000F5922">
            <w:pPr>
              <w:pStyle w:val="FactSheetBody"/>
              <w:spacing w:after="60"/>
            </w:pPr>
          </w:p>
        </w:tc>
      </w:tr>
      <w:tr w:rsidR="00534062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534062" w:rsidRPr="00CC29AE" w:rsidRDefault="00CC29AE" w:rsidP="00CC29AE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Translated installed capacity to contract capacity – X axis</w:t>
            </w:r>
            <w:r w:rsidR="00534062">
              <w:rPr>
                <w:b/>
                <w:i/>
              </w:rPr>
              <w:t xml:space="preserve"> (Slide </w:t>
            </w:r>
            <w:r>
              <w:rPr>
                <w:b/>
                <w:i/>
              </w:rPr>
              <w:t>42)</w:t>
            </w:r>
            <w:r w:rsidR="00534062" w:rsidRPr="00CC29AE">
              <w:rPr>
                <w:b/>
                <w:i/>
              </w:rPr>
              <w:t>:</w:t>
            </w:r>
          </w:p>
          <w:p w:rsidR="00534062" w:rsidRDefault="00CC29AE" w:rsidP="00F32A08">
            <w:pPr>
              <w:pStyle w:val="FactSheetBody"/>
              <w:numPr>
                <w:ilvl w:val="1"/>
                <w:numId w:val="26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In order to continue to bill based on contract capacity, the cost curve x-axis for installed capacity must be “translated” to contract capacity;</w:t>
            </w:r>
          </w:p>
          <w:p w:rsidR="00CC29AE" w:rsidRPr="00534062" w:rsidRDefault="00CC29AE" w:rsidP="00F32A08">
            <w:pPr>
              <w:pStyle w:val="FactSheetBody"/>
              <w:numPr>
                <w:ilvl w:val="1"/>
                <w:numId w:val="26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In other words, create the exact same shape and dimensions as previous graph Option #4 which can be graphed against Option #1 without altering the secondary vertical axis.</w:t>
            </w:r>
          </w:p>
        </w:tc>
      </w:tr>
      <w:tr w:rsidR="00534062" w:rsidTr="006A1F7E">
        <w:tc>
          <w:tcPr>
            <w:tcW w:w="9389" w:type="dxa"/>
            <w:gridSpan w:val="2"/>
            <w:shd w:val="clear" w:color="auto" w:fill="auto"/>
          </w:tcPr>
          <w:p w:rsidR="00534062" w:rsidRDefault="00534062" w:rsidP="000F5922">
            <w:pPr>
              <w:pStyle w:val="FactSheetBody"/>
              <w:spacing w:after="60"/>
            </w:pPr>
            <w:r>
              <w:t>Stakeholder Comments:</w:t>
            </w:r>
          </w:p>
          <w:p w:rsidR="00D13383" w:rsidRDefault="00D13383" w:rsidP="00D13383">
            <w:pPr>
              <w:pStyle w:val="FactSheetBody"/>
              <w:spacing w:after="60"/>
            </w:pPr>
          </w:p>
        </w:tc>
      </w:tr>
      <w:tr w:rsidR="00CC29AE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CC29AE" w:rsidRPr="00CC29AE" w:rsidRDefault="00CC29AE" w:rsidP="000F5922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Comparisons of options to existing (2014 ISO Tariff) cost function curve</w:t>
            </w:r>
            <w:r w:rsidRPr="00CC29AE">
              <w:rPr>
                <w:b/>
                <w:i/>
              </w:rPr>
              <w:t xml:space="preserve"> (Slide 4</w:t>
            </w:r>
            <w:r>
              <w:rPr>
                <w:b/>
                <w:i/>
              </w:rPr>
              <w:t>3</w:t>
            </w:r>
            <w:r w:rsidRPr="00CC29AE">
              <w:rPr>
                <w:b/>
                <w:i/>
              </w:rPr>
              <w:t>):</w:t>
            </w: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1" locked="0" layoutInCell="1" allowOverlap="1" wp14:anchorId="5FCFFE48" wp14:editId="495AED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-2062480</wp:posOffset>
                  </wp:positionV>
                  <wp:extent cx="3278337" cy="21907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337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9AE" w:rsidRPr="00CC29AE" w:rsidRDefault="00CC29AE" w:rsidP="000F5922">
            <w:pPr>
              <w:pStyle w:val="FactSheetBody"/>
              <w:spacing w:after="60"/>
              <w:rPr>
                <w:b/>
                <w:i/>
              </w:rPr>
            </w:pPr>
          </w:p>
        </w:tc>
      </w:tr>
      <w:tr w:rsidR="00CC29AE" w:rsidTr="000F5922">
        <w:tc>
          <w:tcPr>
            <w:tcW w:w="9389" w:type="dxa"/>
            <w:gridSpan w:val="2"/>
            <w:shd w:val="clear" w:color="auto" w:fill="auto"/>
          </w:tcPr>
          <w:p w:rsidR="00CC29AE" w:rsidRDefault="00CC29AE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CC29AE" w:rsidRDefault="00CC29AE" w:rsidP="000F5922">
            <w:pPr>
              <w:pStyle w:val="FactSheetBody"/>
              <w:spacing w:after="60"/>
            </w:pPr>
          </w:p>
        </w:tc>
      </w:tr>
      <w:tr w:rsidR="00BA218A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BA218A" w:rsidRPr="00BA218A" w:rsidRDefault="00D13383" w:rsidP="00F32A08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Criteria summary</w:t>
            </w:r>
            <w:r w:rsidR="00BA218A">
              <w:rPr>
                <w:b/>
                <w:i/>
              </w:rPr>
              <w:t xml:space="preserve"> (Slide </w:t>
            </w:r>
            <w:r>
              <w:rPr>
                <w:b/>
                <w:i/>
              </w:rPr>
              <w:t>44</w:t>
            </w:r>
            <w:r w:rsidR="00BA218A">
              <w:rPr>
                <w:b/>
                <w:i/>
              </w:rPr>
              <w:t>):</w:t>
            </w: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BA218A" w:rsidRPr="00BA218A" w:rsidRDefault="00D13383" w:rsidP="00D13383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1312" behindDoc="1" locked="0" layoutInCell="1" allowOverlap="1" wp14:anchorId="404867E1" wp14:editId="34C5E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-1572260</wp:posOffset>
                  </wp:positionV>
                  <wp:extent cx="3228975" cy="1690925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6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218A" w:rsidTr="006A1F7E">
        <w:tc>
          <w:tcPr>
            <w:tcW w:w="9389" w:type="dxa"/>
            <w:gridSpan w:val="2"/>
            <w:shd w:val="clear" w:color="auto" w:fill="auto"/>
          </w:tcPr>
          <w:p w:rsidR="00D13383" w:rsidRDefault="00BA218A" w:rsidP="000F5922">
            <w:pPr>
              <w:pStyle w:val="FactSheetBody"/>
              <w:spacing w:after="60"/>
            </w:pPr>
            <w:r>
              <w:t>Stakeholder Comments:</w:t>
            </w:r>
          </w:p>
          <w:p w:rsidR="00D13383" w:rsidRDefault="00D13383" w:rsidP="000F5922">
            <w:pPr>
              <w:pStyle w:val="FactSheetBody"/>
              <w:spacing w:after="60"/>
            </w:pPr>
          </w:p>
        </w:tc>
      </w:tr>
      <w:tr w:rsidR="00D13383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D13383" w:rsidRPr="00BA218A" w:rsidRDefault="00D13383" w:rsidP="000F5922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Impact on POD rates (Slide 45)</w:t>
            </w: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0F5922">
            <w:pPr>
              <w:pStyle w:val="FactSheetBody"/>
              <w:spacing w:after="60"/>
              <w:rPr>
                <w:b/>
                <w:i/>
              </w:rPr>
            </w:pPr>
            <w:r w:rsidRPr="00D13383">
              <w:rPr>
                <w:b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27752E19" wp14:editId="55764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-941070</wp:posOffset>
                  </wp:positionV>
                  <wp:extent cx="3933825" cy="1057846"/>
                  <wp:effectExtent l="0" t="0" r="0" b="9525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05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383" w:rsidRPr="00BA218A" w:rsidRDefault="00D13383" w:rsidP="000F5922">
            <w:pPr>
              <w:pStyle w:val="FactSheetBody"/>
              <w:spacing w:after="60"/>
              <w:rPr>
                <w:b/>
                <w:i/>
              </w:rPr>
            </w:pPr>
          </w:p>
        </w:tc>
      </w:tr>
      <w:tr w:rsidR="00D13383" w:rsidTr="000F5922">
        <w:tc>
          <w:tcPr>
            <w:tcW w:w="9389" w:type="dxa"/>
            <w:gridSpan w:val="2"/>
            <w:shd w:val="clear" w:color="auto" w:fill="auto"/>
          </w:tcPr>
          <w:p w:rsidR="00D13383" w:rsidRDefault="00D13383" w:rsidP="000F5922">
            <w:pPr>
              <w:pStyle w:val="FactSheetBody"/>
              <w:spacing w:after="60"/>
            </w:pPr>
            <w:r>
              <w:t>Stakeholder Comments:</w:t>
            </w:r>
          </w:p>
          <w:p w:rsidR="00D13383" w:rsidRDefault="00D13383" w:rsidP="000F5922">
            <w:pPr>
              <w:pStyle w:val="FactSheetBody"/>
              <w:spacing w:after="60"/>
            </w:pPr>
          </w:p>
        </w:tc>
      </w:tr>
      <w:tr w:rsidR="00BA218A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D13383" w:rsidRPr="00D13383" w:rsidRDefault="00D13383" w:rsidP="00D13383">
            <w:pPr>
              <w:pStyle w:val="FactSheetBody"/>
              <w:numPr>
                <w:ilvl w:val="0"/>
                <w:numId w:val="2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POD cost function – next steps</w:t>
            </w:r>
            <w:r w:rsidR="00BA218A">
              <w:rPr>
                <w:b/>
                <w:i/>
              </w:rPr>
              <w:t xml:space="preserve"> (Slide </w:t>
            </w:r>
            <w:r>
              <w:rPr>
                <w:b/>
                <w:i/>
              </w:rPr>
              <w:t>46</w:t>
            </w:r>
            <w:r w:rsidR="00BA218A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  <w:p w:rsidR="00D13383" w:rsidRDefault="00D13383" w:rsidP="00D13383">
            <w:pPr>
              <w:pStyle w:val="FactSheetBody"/>
              <w:numPr>
                <w:ilvl w:val="0"/>
                <w:numId w:val="30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Proceed with rates calculations based on Option #1 – pre-2014 practice;</w:t>
            </w:r>
          </w:p>
          <w:p w:rsidR="00D13383" w:rsidRDefault="00D13383" w:rsidP="00D13383">
            <w:pPr>
              <w:pStyle w:val="FactSheetBody"/>
              <w:numPr>
                <w:ilvl w:val="0"/>
                <w:numId w:val="30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Continue to work on translation of “Installed Capacity” cost curve to a “Contract Capacity” cost curve to provide analysis to Commission in application, in order to thoroughly explore the matter; and</w:t>
            </w:r>
          </w:p>
          <w:p w:rsidR="00D13383" w:rsidRPr="00BA218A" w:rsidRDefault="00D13383" w:rsidP="00D13383">
            <w:pPr>
              <w:pStyle w:val="FactSheetBody"/>
              <w:numPr>
                <w:ilvl w:val="0"/>
                <w:numId w:val="30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Application will include analysis of all four options.</w:t>
            </w:r>
          </w:p>
        </w:tc>
      </w:tr>
      <w:tr w:rsidR="00BA218A" w:rsidTr="006A1F7E">
        <w:tc>
          <w:tcPr>
            <w:tcW w:w="9389" w:type="dxa"/>
            <w:gridSpan w:val="2"/>
            <w:shd w:val="clear" w:color="auto" w:fill="auto"/>
          </w:tcPr>
          <w:p w:rsidR="00BA218A" w:rsidRDefault="00BA218A" w:rsidP="000F5922">
            <w:pPr>
              <w:pStyle w:val="FactSheetBody"/>
              <w:spacing w:after="60"/>
            </w:pPr>
            <w:r>
              <w:t>Stakeholder Comments:</w:t>
            </w:r>
          </w:p>
          <w:p w:rsidR="00BA218A" w:rsidRDefault="00BA218A" w:rsidP="000F5922">
            <w:pPr>
              <w:pStyle w:val="FactSheetBody"/>
              <w:spacing w:after="60"/>
            </w:pPr>
          </w:p>
        </w:tc>
      </w:tr>
      <w:tr w:rsidR="00067515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067515" w:rsidRPr="005132C9" w:rsidRDefault="00D13383" w:rsidP="00D13383">
            <w:pPr>
              <w:pStyle w:val="FactSheetBody"/>
              <w:numPr>
                <w:ilvl w:val="0"/>
                <w:numId w:val="4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Transmission Cost Causation Study Follow-up</w:t>
            </w:r>
            <w:r w:rsidR="00067515">
              <w:rPr>
                <w:b/>
                <w:i/>
              </w:rPr>
              <w:br/>
              <w:t xml:space="preserve">(Slides </w:t>
            </w:r>
            <w:r>
              <w:rPr>
                <w:b/>
                <w:i/>
              </w:rPr>
              <w:t>47</w:t>
            </w:r>
            <w:r w:rsidR="00067515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5</w:t>
            </w:r>
            <w:r w:rsidR="00BA218A">
              <w:rPr>
                <w:b/>
                <w:i/>
              </w:rPr>
              <w:t>3</w:t>
            </w:r>
            <w:r w:rsidR="00067515">
              <w:rPr>
                <w:b/>
                <w:i/>
              </w:rPr>
              <w:t>)</w:t>
            </w:r>
          </w:p>
        </w:tc>
      </w:tr>
      <w:tr w:rsidR="00067515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067515" w:rsidRDefault="00D13383" w:rsidP="006A1F7E">
            <w:pPr>
              <w:pStyle w:val="FactSheetBody"/>
              <w:numPr>
                <w:ilvl w:val="0"/>
                <w:numId w:val="8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Preliminary 2018-2020 Functionalization</w:t>
            </w:r>
            <w:r w:rsidR="00067515">
              <w:rPr>
                <w:b/>
                <w:i/>
              </w:rPr>
              <w:t xml:space="preserve"> (Slide</w:t>
            </w:r>
            <w:r w:rsidR="00BA21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48</w:t>
            </w:r>
            <w:r w:rsidR="00067515">
              <w:rPr>
                <w:b/>
                <w:i/>
              </w:rPr>
              <w:t>):</w:t>
            </w: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Default="00D13383" w:rsidP="00D13383">
            <w:pPr>
              <w:pStyle w:val="FactSheetBody"/>
              <w:spacing w:after="60"/>
              <w:rPr>
                <w:b/>
                <w:i/>
              </w:rPr>
            </w:pPr>
          </w:p>
          <w:p w:rsidR="00D13383" w:rsidRPr="0007181E" w:rsidRDefault="00D13383" w:rsidP="00D13383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-802005</wp:posOffset>
                  </wp:positionV>
                  <wp:extent cx="2971800" cy="9335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3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7515" w:rsidTr="006A1F7E">
        <w:tc>
          <w:tcPr>
            <w:tcW w:w="9389" w:type="dxa"/>
            <w:gridSpan w:val="2"/>
            <w:shd w:val="clear" w:color="auto" w:fill="auto"/>
          </w:tcPr>
          <w:p w:rsidR="00067515" w:rsidRDefault="00067515" w:rsidP="000F5922">
            <w:pPr>
              <w:pStyle w:val="FactSheetBody"/>
              <w:spacing w:after="60"/>
            </w:pPr>
            <w:r>
              <w:lastRenderedPageBreak/>
              <w:t>Stakeholder Comments:</w:t>
            </w:r>
          </w:p>
          <w:p w:rsidR="00067515" w:rsidRDefault="00067515" w:rsidP="000F5922">
            <w:pPr>
              <w:pStyle w:val="FactSheetBody"/>
              <w:spacing w:after="60"/>
            </w:pPr>
          </w:p>
        </w:tc>
      </w:tr>
      <w:tr w:rsidR="00D13383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D13383" w:rsidRDefault="00D13383" w:rsidP="000F5922">
            <w:pPr>
              <w:pStyle w:val="FactSheetBody"/>
              <w:numPr>
                <w:ilvl w:val="0"/>
                <w:numId w:val="8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Regional system additions in 2020 (Slide 49):</w:t>
            </w:r>
          </w:p>
          <w:p w:rsidR="00D13383" w:rsidRDefault="00D13383" w:rsidP="000F5922">
            <w:pPr>
              <w:pStyle w:val="FactSheetBody"/>
              <w:numPr>
                <w:ilvl w:val="0"/>
                <w:numId w:val="31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Downtown Calgary (P1456) – about $145 million</w:t>
            </w:r>
          </w:p>
          <w:p w:rsidR="00D13383" w:rsidRDefault="00D13383" w:rsidP="000F5922">
            <w:pPr>
              <w:pStyle w:val="FactSheetBody"/>
              <w:numPr>
                <w:ilvl w:val="0"/>
                <w:numId w:val="31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Grande Prairie (P1784, P1785) – about $75 million</w:t>
            </w:r>
          </w:p>
          <w:p w:rsidR="00D13383" w:rsidRPr="006A1F7E" w:rsidRDefault="00D13383" w:rsidP="000F5922">
            <w:pPr>
              <w:pStyle w:val="FactSheetBody"/>
              <w:numPr>
                <w:ilvl w:val="0"/>
                <w:numId w:val="31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Central East (PENV, P1781) – about $280 million, potentially moving to post-2020</w:t>
            </w:r>
          </w:p>
        </w:tc>
      </w:tr>
      <w:tr w:rsidR="00D13383" w:rsidTr="000F5922">
        <w:tc>
          <w:tcPr>
            <w:tcW w:w="9389" w:type="dxa"/>
            <w:gridSpan w:val="2"/>
            <w:shd w:val="clear" w:color="auto" w:fill="auto"/>
          </w:tcPr>
          <w:p w:rsidR="00D13383" w:rsidRDefault="00D13383" w:rsidP="000F5922">
            <w:pPr>
              <w:pStyle w:val="FactSheetBody"/>
              <w:spacing w:after="60"/>
            </w:pPr>
            <w:r>
              <w:t>Stakeholder Comments:</w:t>
            </w:r>
          </w:p>
          <w:p w:rsidR="00D13383" w:rsidRDefault="00D13383" w:rsidP="000F5922">
            <w:pPr>
              <w:pStyle w:val="FactSheetBody"/>
              <w:spacing w:after="60"/>
            </w:pPr>
          </w:p>
        </w:tc>
      </w:tr>
      <w:tr w:rsidR="00D13383" w:rsidRPr="005132C9" w:rsidTr="000F592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D13383" w:rsidRDefault="00D13383" w:rsidP="000F5922">
            <w:pPr>
              <w:pStyle w:val="FactSheetBody"/>
              <w:numPr>
                <w:ilvl w:val="0"/>
                <w:numId w:val="8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Classification by minimum system approach (Slide</w:t>
            </w:r>
            <w:r w:rsidR="000F5922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50</w:t>
            </w:r>
            <w:r w:rsidR="000F5922">
              <w:rPr>
                <w:b/>
                <w:i/>
              </w:rPr>
              <w:t>-51</w:t>
            </w:r>
            <w:r>
              <w:rPr>
                <w:b/>
                <w:i/>
              </w:rPr>
              <w:t>):</w:t>
            </w:r>
          </w:p>
          <w:p w:rsidR="00D13383" w:rsidRDefault="000F5922" w:rsidP="000F5922">
            <w:pPr>
              <w:pStyle w:val="FactSheetBody"/>
              <w:numPr>
                <w:ilvl w:val="0"/>
                <w:numId w:val="31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Demand related cost as ration of minimum system cost and optimal system cost</w:t>
            </w:r>
            <w:r w:rsidR="00DB346D">
              <w:rPr>
                <w:b/>
                <w:i/>
              </w:rPr>
              <w:t xml:space="preserve"> (Slide 50)</w:t>
            </w:r>
          </w:p>
          <w:p w:rsidR="000F5922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ind w:left="1260"/>
              <w:rPr>
                <w:b/>
                <w:i/>
              </w:rPr>
            </w:pPr>
            <w:r>
              <w:rPr>
                <w:b/>
                <w:i/>
              </w:rPr>
              <w:t>138kV: minimum system is 1x266 ACSR and optimal system is 1x477 ACSR</w:t>
            </w:r>
          </w:p>
          <w:p w:rsidR="000F5922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ind w:left="1260"/>
              <w:rPr>
                <w:b/>
                <w:i/>
              </w:rPr>
            </w:pPr>
            <w:r>
              <w:rPr>
                <w:b/>
                <w:i/>
              </w:rPr>
              <w:t>240kV: minimum system is 2x795 ACSR and optimal system is 2x1033 ACSR</w:t>
            </w:r>
          </w:p>
          <w:p w:rsidR="00D13383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ind w:left="1260"/>
              <w:rPr>
                <w:b/>
                <w:i/>
              </w:rPr>
            </w:pPr>
            <w:r>
              <w:rPr>
                <w:b/>
                <w:i/>
              </w:rPr>
              <w:t>500kV: minimum system is 2x2156 ACSR and optimal system is 3x1590</w:t>
            </w:r>
          </w:p>
          <w:p w:rsidR="000F5922" w:rsidRDefault="000F5922" w:rsidP="000F5922">
            <w:pPr>
              <w:pStyle w:val="FactSheetBody"/>
              <w:numPr>
                <w:ilvl w:val="0"/>
                <w:numId w:val="33"/>
              </w:numPr>
              <w:spacing w:after="6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Classification calculations</w:t>
            </w:r>
            <w:r w:rsidR="00DB346D">
              <w:rPr>
                <w:b/>
                <w:i/>
              </w:rPr>
              <w:t xml:space="preserve"> (Slide 51):</w:t>
            </w:r>
          </w:p>
          <w:p w:rsidR="000F5922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Normalize cost to single circuit for 138kV;</w:t>
            </w:r>
          </w:p>
          <w:p w:rsidR="000F5922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Normalize cost to double circuit for 240kV; and</w:t>
            </w:r>
          </w:p>
          <w:p w:rsidR="000F5922" w:rsidRPr="000F5922" w:rsidRDefault="000F5922" w:rsidP="000F5922">
            <w:pPr>
              <w:pStyle w:val="FactSheetBody"/>
              <w:numPr>
                <w:ilvl w:val="1"/>
                <w:numId w:val="33"/>
              </w:num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Escalate cost to common test year (new improvement for this study).</w:t>
            </w:r>
          </w:p>
        </w:tc>
      </w:tr>
      <w:tr w:rsidR="00D13383" w:rsidTr="000F5922">
        <w:tc>
          <w:tcPr>
            <w:tcW w:w="9389" w:type="dxa"/>
            <w:gridSpan w:val="2"/>
            <w:shd w:val="clear" w:color="auto" w:fill="auto"/>
          </w:tcPr>
          <w:p w:rsidR="00D13383" w:rsidRDefault="00D13383" w:rsidP="000F5922">
            <w:pPr>
              <w:pStyle w:val="FactSheetBody"/>
              <w:spacing w:after="60"/>
            </w:pPr>
            <w:r>
              <w:t>Stakeholder Comments:</w:t>
            </w:r>
          </w:p>
          <w:p w:rsidR="00D13383" w:rsidRDefault="00D13383" w:rsidP="000F5922">
            <w:pPr>
              <w:pStyle w:val="FactSheetBody"/>
              <w:spacing w:after="60"/>
            </w:pPr>
          </w:p>
        </w:tc>
      </w:tr>
      <w:tr w:rsidR="00DB346D" w:rsidRPr="005132C9" w:rsidTr="00947BA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DB346D" w:rsidRDefault="00DB346D" w:rsidP="00947BA2">
            <w:pPr>
              <w:pStyle w:val="FactSheetBody"/>
              <w:numPr>
                <w:ilvl w:val="0"/>
                <w:numId w:val="8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Regional system classification (Slide 52):</w:t>
            </w: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Default="00DB346D" w:rsidP="00DB346D">
            <w:pPr>
              <w:pStyle w:val="FactSheetBody"/>
              <w:spacing w:after="60"/>
              <w:rPr>
                <w:b/>
                <w:i/>
              </w:rPr>
            </w:pPr>
          </w:p>
          <w:p w:rsidR="00DB346D" w:rsidRPr="006A1F7E" w:rsidRDefault="00DB346D" w:rsidP="00DB346D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-1461135</wp:posOffset>
                  </wp:positionV>
                  <wp:extent cx="5042616" cy="1588514"/>
                  <wp:effectExtent l="0" t="0" r="571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616" cy="158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346D" w:rsidTr="00947BA2">
        <w:tc>
          <w:tcPr>
            <w:tcW w:w="9389" w:type="dxa"/>
            <w:gridSpan w:val="2"/>
            <w:shd w:val="clear" w:color="auto" w:fill="auto"/>
          </w:tcPr>
          <w:p w:rsidR="00DB346D" w:rsidRDefault="00DB346D" w:rsidP="00947BA2">
            <w:pPr>
              <w:pStyle w:val="FactSheetBody"/>
              <w:spacing w:after="60"/>
            </w:pPr>
            <w:r>
              <w:t>Stakeholder Comments:</w:t>
            </w:r>
          </w:p>
          <w:p w:rsidR="00DB346D" w:rsidRDefault="00DB346D" w:rsidP="00947BA2">
            <w:pPr>
              <w:pStyle w:val="FactSheetBody"/>
              <w:spacing w:after="60"/>
            </w:pPr>
          </w:p>
        </w:tc>
      </w:tr>
      <w:tr w:rsidR="006A1F7E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6A1F7E" w:rsidRDefault="00855DDE" w:rsidP="006A1F7E">
            <w:pPr>
              <w:pStyle w:val="FactSheetBody"/>
              <w:numPr>
                <w:ilvl w:val="0"/>
                <w:numId w:val="8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Bulk</w:t>
            </w:r>
            <w:r w:rsidR="00D13383">
              <w:rPr>
                <w:b/>
                <w:i/>
              </w:rPr>
              <w:t xml:space="preserve"> system </w:t>
            </w:r>
            <w:r>
              <w:rPr>
                <w:b/>
                <w:i/>
              </w:rPr>
              <w:t>classification</w:t>
            </w:r>
            <w:r w:rsidR="00D13383">
              <w:rPr>
                <w:b/>
                <w:i/>
              </w:rPr>
              <w:t xml:space="preserve"> </w:t>
            </w:r>
            <w:r w:rsidR="006A1F7E">
              <w:rPr>
                <w:b/>
                <w:i/>
              </w:rPr>
              <w:t xml:space="preserve">(Slide </w:t>
            </w:r>
            <w:r>
              <w:rPr>
                <w:b/>
                <w:i/>
              </w:rPr>
              <w:t>53</w:t>
            </w:r>
            <w:r w:rsidR="006A1F7E">
              <w:rPr>
                <w:b/>
                <w:i/>
              </w:rPr>
              <w:t>):</w:t>
            </w:r>
          </w:p>
          <w:p w:rsidR="00D13383" w:rsidRDefault="00D13383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Default="00855DDE" w:rsidP="00855DDE">
            <w:pPr>
              <w:pStyle w:val="FactSheetBody"/>
              <w:spacing w:after="60"/>
              <w:rPr>
                <w:b/>
                <w:i/>
              </w:rPr>
            </w:pPr>
          </w:p>
          <w:p w:rsidR="00855DDE" w:rsidRPr="006A1F7E" w:rsidRDefault="00855DDE" w:rsidP="00855DDE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-1313180</wp:posOffset>
                  </wp:positionV>
                  <wp:extent cx="4562475" cy="1437262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43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329A" w:rsidTr="006A1F7E">
        <w:tc>
          <w:tcPr>
            <w:tcW w:w="9389" w:type="dxa"/>
            <w:gridSpan w:val="2"/>
            <w:shd w:val="clear" w:color="auto" w:fill="auto"/>
          </w:tcPr>
          <w:p w:rsidR="008F329A" w:rsidRDefault="008F329A" w:rsidP="000F5922">
            <w:pPr>
              <w:pStyle w:val="FactSheetBody"/>
              <w:spacing w:after="60"/>
            </w:pPr>
            <w:r>
              <w:t>Stakeholder Comments:</w:t>
            </w:r>
          </w:p>
          <w:p w:rsidR="008F329A" w:rsidRDefault="008F329A" w:rsidP="000F5922">
            <w:pPr>
              <w:pStyle w:val="FactSheetBody"/>
              <w:spacing w:after="60"/>
            </w:pPr>
          </w:p>
        </w:tc>
      </w:tr>
      <w:tr w:rsidR="00855DDE" w:rsidRPr="005132C9" w:rsidTr="00947BA2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855DDE" w:rsidRPr="005132C9" w:rsidRDefault="00855DDE" w:rsidP="00855DDE">
            <w:pPr>
              <w:pStyle w:val="FactSheetBody"/>
              <w:numPr>
                <w:ilvl w:val="0"/>
                <w:numId w:val="4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Critical Infrastructure Protections (“CIPs”) Cost Recovery (Slides 54-56)</w:t>
            </w:r>
          </w:p>
        </w:tc>
      </w:tr>
      <w:tr w:rsidR="00855DDE" w:rsidRPr="005132C9" w:rsidTr="00947BA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855DDE" w:rsidRDefault="00855DDE" w:rsidP="00947BA2">
            <w:pPr>
              <w:pStyle w:val="FactSheetBody"/>
              <w:numPr>
                <w:ilvl w:val="0"/>
                <w:numId w:val="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Background to CIPS Cost Recover Issue (Slide 55)</w:t>
            </w:r>
          </w:p>
          <w:p w:rsidR="00855DDE" w:rsidRDefault="00855DDE" w:rsidP="00855DDE">
            <w:pPr>
              <w:pStyle w:val="FactSheetBody"/>
              <w:numPr>
                <w:ilvl w:val="0"/>
                <w:numId w:val="34"/>
              </w:numPr>
              <w:spacing w:after="60"/>
              <w:ind w:left="900"/>
              <w:rPr>
                <w:b/>
                <w:i/>
              </w:rPr>
            </w:pPr>
            <w:r>
              <w:rPr>
                <w:b/>
                <w:i/>
              </w:rPr>
              <w:t>Alberta reliability standard – Cyber Security – BES Cyber System Categorization CIP-002-AB-5.1 is planned to be effective on October 1, 2017</w:t>
            </w:r>
          </w:p>
          <w:p w:rsidR="00855DDE" w:rsidRDefault="00855DDE" w:rsidP="00855DDE">
            <w:pPr>
              <w:pStyle w:val="FactSheetBody"/>
              <w:numPr>
                <w:ilvl w:val="0"/>
                <w:numId w:val="34"/>
              </w:numPr>
              <w:spacing w:after="60"/>
              <w:ind w:left="90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TransAlta’s</w:t>
            </w:r>
            <w:proofErr w:type="spellEnd"/>
            <w:r>
              <w:rPr>
                <w:b/>
                <w:i/>
              </w:rPr>
              <w:t xml:space="preserve"> Sundance Facility (units 1-6) would be the only aggregated generating facility classified with a Medium Impact Rating subject to additional expenditures</w:t>
            </w:r>
          </w:p>
          <w:p w:rsidR="00855DDE" w:rsidRPr="00855DDE" w:rsidRDefault="00855DDE" w:rsidP="00855DDE">
            <w:pPr>
              <w:pStyle w:val="FactSheetBody"/>
              <w:numPr>
                <w:ilvl w:val="0"/>
                <w:numId w:val="34"/>
              </w:numPr>
              <w:spacing w:after="60"/>
              <w:ind w:left="900"/>
              <w:rPr>
                <w:b/>
                <w:i/>
              </w:rPr>
            </w:pPr>
            <w:r>
              <w:rPr>
                <w:b/>
                <w:i/>
              </w:rPr>
              <w:t>In Proceeding 3443, the Commission directed the AESO state if these costs would recoverable under the ISO tariff or not</w:t>
            </w:r>
          </w:p>
        </w:tc>
      </w:tr>
      <w:tr w:rsidR="00855DDE" w:rsidTr="00947BA2">
        <w:tc>
          <w:tcPr>
            <w:tcW w:w="9389" w:type="dxa"/>
            <w:gridSpan w:val="2"/>
            <w:shd w:val="clear" w:color="auto" w:fill="auto"/>
          </w:tcPr>
          <w:p w:rsidR="00855DDE" w:rsidRDefault="00855DDE" w:rsidP="00947BA2">
            <w:pPr>
              <w:pStyle w:val="FactSheetBody"/>
              <w:spacing w:after="60"/>
            </w:pPr>
            <w:r>
              <w:t>Stakeholder Comments:</w:t>
            </w:r>
          </w:p>
          <w:p w:rsidR="00855DDE" w:rsidRDefault="00855DDE" w:rsidP="00947BA2">
            <w:pPr>
              <w:pStyle w:val="FactSheetBody"/>
              <w:spacing w:after="60"/>
            </w:pPr>
          </w:p>
        </w:tc>
      </w:tr>
      <w:tr w:rsidR="00855DDE" w:rsidRPr="005132C9" w:rsidTr="00947BA2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855DDE" w:rsidRDefault="00855DDE" w:rsidP="00947BA2">
            <w:pPr>
              <w:pStyle w:val="FactSheetBody"/>
              <w:numPr>
                <w:ilvl w:val="0"/>
                <w:numId w:val="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AESO’s proposed position in upcoming application (Slide 56)</w:t>
            </w:r>
          </w:p>
          <w:p w:rsidR="00855DDE" w:rsidRDefault="00855DDE" w:rsidP="00947BA2">
            <w:pPr>
              <w:pStyle w:val="FactSheetBody"/>
              <w:numPr>
                <w:ilvl w:val="0"/>
                <w:numId w:val="34"/>
              </w:numPr>
              <w:spacing w:after="60"/>
              <w:ind w:left="900"/>
              <w:rPr>
                <w:b/>
                <w:i/>
              </w:rPr>
            </w:pPr>
            <w:r>
              <w:rPr>
                <w:b/>
                <w:i/>
              </w:rPr>
              <w:t>Not recoverable under the tariff; generators should be individually responsible for the costs of complying with Alberta Reliability Standards, including CIPs</w:t>
            </w:r>
          </w:p>
          <w:p w:rsidR="00855DDE" w:rsidRDefault="00855DDE" w:rsidP="00855DDE">
            <w:pPr>
              <w:pStyle w:val="FactSheetBody"/>
              <w:numPr>
                <w:ilvl w:val="1"/>
                <w:numId w:val="34"/>
              </w:numPr>
              <w:spacing w:after="60"/>
              <w:ind w:left="1620"/>
              <w:rPr>
                <w:b/>
                <w:i/>
              </w:rPr>
            </w:pPr>
            <w:r>
              <w:rPr>
                <w:b/>
                <w:i/>
              </w:rPr>
              <w:t>Based on AESO’s internal FEOC assessment (costs that are directly assigned to the market participant are more efficient that if they are socialized);</w:t>
            </w:r>
          </w:p>
          <w:p w:rsidR="00855DDE" w:rsidRDefault="00855DDE" w:rsidP="00855DDE">
            <w:pPr>
              <w:pStyle w:val="FactSheetBody"/>
              <w:numPr>
                <w:ilvl w:val="1"/>
                <w:numId w:val="34"/>
              </w:numPr>
              <w:spacing w:after="60"/>
              <w:ind w:left="1620"/>
              <w:rPr>
                <w:b/>
                <w:i/>
              </w:rPr>
            </w:pPr>
            <w:r>
              <w:rPr>
                <w:b/>
                <w:i/>
              </w:rPr>
              <w:t>Consistent with the treatment of other Alberta reliability standards that provide a benefit to the AIES and all market participants.</w:t>
            </w:r>
          </w:p>
          <w:p w:rsidR="00855DDE" w:rsidRPr="00855DDE" w:rsidRDefault="00855DDE" w:rsidP="00855DDE">
            <w:pPr>
              <w:pStyle w:val="FactSheetBody"/>
              <w:numPr>
                <w:ilvl w:val="0"/>
                <w:numId w:val="34"/>
              </w:numPr>
              <w:spacing w:after="60"/>
              <w:ind w:left="900"/>
              <w:rPr>
                <w:b/>
                <w:i/>
              </w:rPr>
            </w:pPr>
            <w:r>
              <w:rPr>
                <w:b/>
                <w:i/>
              </w:rPr>
              <w:t>AESO’s rationale will be included in the ISO tariff application and may include evaluation of tariff, cost causation and FEOC principles.</w:t>
            </w:r>
          </w:p>
        </w:tc>
      </w:tr>
      <w:tr w:rsidR="00855DDE" w:rsidTr="00947BA2">
        <w:tc>
          <w:tcPr>
            <w:tcW w:w="9389" w:type="dxa"/>
            <w:gridSpan w:val="2"/>
            <w:shd w:val="clear" w:color="auto" w:fill="auto"/>
          </w:tcPr>
          <w:p w:rsidR="00855DDE" w:rsidRDefault="00855DDE" w:rsidP="00947BA2">
            <w:pPr>
              <w:pStyle w:val="FactSheetBody"/>
              <w:spacing w:after="60"/>
            </w:pPr>
            <w:r>
              <w:t>Stakeholder Comments:</w:t>
            </w:r>
          </w:p>
          <w:p w:rsidR="00855DDE" w:rsidRDefault="00855DDE" w:rsidP="00947BA2">
            <w:pPr>
              <w:pStyle w:val="FactSheetBody"/>
              <w:spacing w:after="60"/>
            </w:pPr>
          </w:p>
        </w:tc>
      </w:tr>
      <w:tr w:rsidR="009C62B1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9C62B1" w:rsidRPr="005132C9" w:rsidRDefault="009C62B1" w:rsidP="00855DDE">
            <w:pPr>
              <w:pStyle w:val="FactSheetBody"/>
              <w:numPr>
                <w:ilvl w:val="0"/>
                <w:numId w:val="4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Application Process, Timeline and Next Steps (Slides </w:t>
            </w:r>
            <w:r w:rsidR="00855DDE">
              <w:rPr>
                <w:b/>
                <w:i/>
              </w:rPr>
              <w:t>57</w:t>
            </w:r>
            <w:r>
              <w:rPr>
                <w:b/>
                <w:i/>
              </w:rPr>
              <w:t xml:space="preserve"> – </w:t>
            </w:r>
            <w:r w:rsidR="00855DDE">
              <w:rPr>
                <w:b/>
                <w:i/>
              </w:rPr>
              <w:t>62</w:t>
            </w:r>
            <w:r>
              <w:rPr>
                <w:b/>
                <w:i/>
              </w:rPr>
              <w:t>)</w:t>
            </w:r>
          </w:p>
        </w:tc>
      </w:tr>
      <w:tr w:rsidR="009C62B1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auto"/>
          </w:tcPr>
          <w:p w:rsidR="009C62B1" w:rsidRPr="00BA00A8" w:rsidRDefault="00FF17CF" w:rsidP="00103888">
            <w:pPr>
              <w:pStyle w:val="FactSheetBody"/>
              <w:numPr>
                <w:ilvl w:val="0"/>
                <w:numId w:val="6"/>
              </w:numPr>
              <w:spacing w:after="6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The </w:t>
            </w:r>
            <w:r w:rsidR="009C62B1">
              <w:rPr>
                <w:b/>
                <w:i/>
              </w:rPr>
              <w:t xml:space="preserve">AESO </w:t>
            </w:r>
            <w:r>
              <w:rPr>
                <w:b/>
                <w:i/>
              </w:rPr>
              <w:t xml:space="preserve">discussed the </w:t>
            </w:r>
            <w:r w:rsidR="009C62B1">
              <w:rPr>
                <w:b/>
                <w:i/>
              </w:rPr>
              <w:t>status o</w:t>
            </w:r>
            <w:r>
              <w:rPr>
                <w:b/>
                <w:i/>
              </w:rPr>
              <w:t>f</w:t>
            </w:r>
            <w:r w:rsidR="009C62B1">
              <w:rPr>
                <w:b/>
                <w:i/>
              </w:rPr>
              <w:t xml:space="preserve"> a number of 2018 ISO tariff application scope items (Slide</w:t>
            </w:r>
            <w:r w:rsidR="00103888">
              <w:rPr>
                <w:b/>
                <w:i/>
              </w:rPr>
              <w:t> </w:t>
            </w:r>
            <w:r w:rsidR="006A1F7E">
              <w:rPr>
                <w:b/>
                <w:i/>
              </w:rPr>
              <w:t>36</w:t>
            </w:r>
            <w:r w:rsidR="009C62B1">
              <w:rPr>
                <w:b/>
                <w:i/>
              </w:rPr>
              <w:t>) and a</w:t>
            </w:r>
            <w:r>
              <w:rPr>
                <w:b/>
                <w:i/>
              </w:rPr>
              <w:t xml:space="preserve"> 2018 ISO</w:t>
            </w:r>
            <w:r w:rsidR="009C62B1">
              <w:rPr>
                <w:b/>
                <w:i/>
              </w:rPr>
              <w:t xml:space="preserve"> tariff tentative timeline.</w:t>
            </w:r>
          </w:p>
        </w:tc>
      </w:tr>
      <w:tr w:rsidR="009C62B1" w:rsidTr="006A1F7E">
        <w:tc>
          <w:tcPr>
            <w:tcW w:w="9389" w:type="dxa"/>
            <w:gridSpan w:val="2"/>
            <w:shd w:val="clear" w:color="auto" w:fill="auto"/>
          </w:tcPr>
          <w:p w:rsidR="009C62B1" w:rsidRDefault="009C62B1" w:rsidP="000F5922">
            <w:pPr>
              <w:pStyle w:val="FactSheetBody"/>
              <w:spacing w:after="60"/>
            </w:pPr>
            <w:r>
              <w:t>Stakeholder Comments:</w:t>
            </w:r>
          </w:p>
          <w:p w:rsidR="009C62B1" w:rsidRDefault="009C62B1" w:rsidP="000F5922">
            <w:pPr>
              <w:pStyle w:val="FactSheetBody"/>
              <w:spacing w:after="60"/>
            </w:pPr>
          </w:p>
        </w:tc>
      </w:tr>
      <w:tr w:rsidR="004B30DA" w:rsidRPr="005132C9" w:rsidTr="006A1F7E">
        <w:trPr>
          <w:gridAfter w:val="1"/>
          <w:wAfter w:w="29" w:type="dxa"/>
        </w:trPr>
        <w:tc>
          <w:tcPr>
            <w:tcW w:w="9360" w:type="dxa"/>
            <w:shd w:val="clear" w:color="auto" w:fill="B8CCE4" w:themeFill="accent1" w:themeFillTint="66"/>
          </w:tcPr>
          <w:p w:rsidR="004B30DA" w:rsidRPr="005132C9" w:rsidRDefault="004B30DA" w:rsidP="007E712A">
            <w:pPr>
              <w:pStyle w:val="FactSheetBody"/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Additional Comments</w:t>
            </w:r>
          </w:p>
        </w:tc>
      </w:tr>
      <w:tr w:rsidR="003F1303" w:rsidTr="006A1F7E">
        <w:tc>
          <w:tcPr>
            <w:tcW w:w="9389" w:type="dxa"/>
            <w:gridSpan w:val="2"/>
            <w:tcBorders>
              <w:right w:val="nil"/>
            </w:tcBorders>
            <w:shd w:val="clear" w:color="auto" w:fill="auto"/>
          </w:tcPr>
          <w:p w:rsidR="003F1303" w:rsidRDefault="003F1303" w:rsidP="005132C9">
            <w:pPr>
              <w:pStyle w:val="FactSheetBody"/>
              <w:spacing w:after="60"/>
            </w:pPr>
          </w:p>
        </w:tc>
      </w:tr>
    </w:tbl>
    <w:p w:rsidR="006864D5" w:rsidRDefault="006864D5" w:rsidP="006569DB">
      <w:pPr>
        <w:pStyle w:val="FactSheetBody"/>
        <w:spacing w:before="0" w:after="0"/>
      </w:pPr>
    </w:p>
    <w:p w:rsidR="006569DB" w:rsidRDefault="006569DB" w:rsidP="006569DB">
      <w:pPr>
        <w:pStyle w:val="FactSheetBody"/>
        <w:jc w:val="center"/>
      </w:pPr>
      <w:r>
        <w:t xml:space="preserve">Please return this form with your comments by </w:t>
      </w:r>
      <w:r w:rsidR="00855DDE">
        <w:rPr>
          <w:b/>
        </w:rPr>
        <w:t>May</w:t>
      </w:r>
      <w:r w:rsidR="009B4057">
        <w:rPr>
          <w:b/>
        </w:rPr>
        <w:t xml:space="preserve"> </w:t>
      </w:r>
      <w:r w:rsidR="00A354A1">
        <w:rPr>
          <w:b/>
        </w:rPr>
        <w:t>2</w:t>
      </w:r>
      <w:r w:rsidR="004B30DA">
        <w:rPr>
          <w:b/>
        </w:rPr>
        <w:t>, 2017</w:t>
      </w:r>
      <w:r>
        <w:t>, to:</w:t>
      </w:r>
    </w:p>
    <w:p w:rsidR="00F477AD" w:rsidRDefault="005B7D76" w:rsidP="006569DB">
      <w:pPr>
        <w:pStyle w:val="FactSheetBody"/>
        <w:spacing w:after="60"/>
        <w:jc w:val="center"/>
      </w:pPr>
      <w:r>
        <w:t>LaRhonda Papworth</w:t>
      </w:r>
      <w:r w:rsidR="006569DB">
        <w:br/>
      </w:r>
      <w:r>
        <w:t>Manager</w:t>
      </w:r>
      <w:r w:rsidR="00E16D55">
        <w:t xml:space="preserve">, Tariff </w:t>
      </w:r>
      <w:r w:rsidR="00445DD6">
        <w:t>Design</w:t>
      </w:r>
      <w:r w:rsidR="006569DB">
        <w:br/>
        <w:t xml:space="preserve">Email: </w:t>
      </w:r>
      <w:hyperlink r:id="rId19" w:history="1">
        <w:r>
          <w:rPr>
            <w:rStyle w:val="Hyperlink"/>
          </w:rPr>
          <w:t>larhonda.papworth@aeso.ca</w:t>
        </w:r>
      </w:hyperlink>
    </w:p>
    <w:p w:rsidR="006569DB" w:rsidRDefault="006569DB" w:rsidP="006569DB">
      <w:pPr>
        <w:pStyle w:val="FactSheetBody"/>
        <w:spacing w:after="60"/>
        <w:jc w:val="center"/>
      </w:pPr>
      <w:r>
        <w:t>Phone: (4</w:t>
      </w:r>
      <w:r w:rsidR="005B7D76">
        <w:t>03) 539-2555</w:t>
      </w:r>
    </w:p>
    <w:p w:rsidR="006569DB" w:rsidRPr="006569DB" w:rsidRDefault="006569DB" w:rsidP="006569DB">
      <w:pPr>
        <w:pStyle w:val="FactSheetBody"/>
      </w:pPr>
    </w:p>
    <w:sectPr w:rsidR="006569DB" w:rsidRPr="006569DB" w:rsidSect="00385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656" w:right="1440" w:bottom="1008" w:left="1440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2" w:rsidRDefault="000F5922" w:rsidP="00477A36">
      <w:pPr>
        <w:spacing w:after="0" w:line="240" w:lineRule="auto"/>
      </w:pPr>
      <w:r>
        <w:separator/>
      </w:r>
    </w:p>
    <w:p w:rsidR="000F5922" w:rsidRDefault="000F5922"/>
  </w:endnote>
  <w:endnote w:type="continuationSeparator" w:id="0">
    <w:p w:rsidR="000F5922" w:rsidRDefault="000F5922" w:rsidP="00477A36">
      <w:pPr>
        <w:spacing w:after="0" w:line="240" w:lineRule="auto"/>
      </w:pPr>
      <w:r>
        <w:continuationSeparator/>
      </w:r>
    </w:p>
    <w:p w:rsidR="000F5922" w:rsidRDefault="000F5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F3" w:rsidRDefault="006C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0" w:type="dxa"/>
      <w:tblInd w:w="108" w:type="dxa"/>
      <w:tblLook w:val="04A0" w:firstRow="1" w:lastRow="0" w:firstColumn="1" w:lastColumn="0" w:noHBand="0" w:noVBand="1"/>
    </w:tblPr>
    <w:tblGrid>
      <w:gridCol w:w="3745"/>
      <w:gridCol w:w="1484"/>
      <w:gridCol w:w="4221"/>
    </w:tblGrid>
    <w:tr w:rsidR="000F5922" w:rsidRPr="005132C9" w:rsidTr="006569DB">
      <w:trPr>
        <w:trHeight w:hRule="exact" w:val="216"/>
      </w:trPr>
      <w:tc>
        <w:tcPr>
          <w:tcW w:w="3744" w:type="dxa"/>
          <w:vAlign w:val="bottom"/>
        </w:tcPr>
        <w:p w:rsidR="000F5922" w:rsidRPr="005132C9" w:rsidRDefault="000F5922" w:rsidP="00BA00A8">
          <w:pPr>
            <w:tabs>
              <w:tab w:val="clear" w:pos="720"/>
            </w:tabs>
            <w:spacing w:before="0" w:after="0"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AESO 2018 ISO Tariff Consultation</w:t>
          </w:r>
        </w:p>
      </w:tc>
      <w:tc>
        <w:tcPr>
          <w:tcW w:w="1483" w:type="dxa"/>
          <w:vAlign w:val="bottom"/>
        </w:tcPr>
        <w:p w:rsidR="000F5922" w:rsidRPr="005132C9" w:rsidRDefault="000F5922" w:rsidP="006D2B82">
          <w:pPr>
            <w:spacing w:before="0" w:after="0" w:line="240" w:lineRule="auto"/>
            <w:jc w:val="center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 xml:space="preserve">Page </w:t>
          </w:r>
          <w:r w:rsidRPr="005132C9">
            <w:rPr>
              <w:color w:val="000000"/>
              <w:sz w:val="16"/>
              <w:szCs w:val="16"/>
            </w:rPr>
            <w:fldChar w:fldCharType="begin"/>
          </w:r>
          <w:r w:rsidRPr="005132C9">
            <w:rPr>
              <w:color w:val="000000"/>
              <w:sz w:val="16"/>
              <w:szCs w:val="16"/>
            </w:rPr>
            <w:instrText xml:space="preserve"> PAGE   \* MERGEFORMAT </w:instrText>
          </w:r>
          <w:r w:rsidRPr="005132C9">
            <w:rPr>
              <w:color w:val="000000"/>
              <w:sz w:val="16"/>
              <w:szCs w:val="16"/>
            </w:rPr>
            <w:fldChar w:fldCharType="separate"/>
          </w:r>
          <w:r w:rsidR="006C76F3">
            <w:rPr>
              <w:noProof/>
              <w:color w:val="000000"/>
              <w:sz w:val="16"/>
              <w:szCs w:val="16"/>
            </w:rPr>
            <w:t>8</w:t>
          </w:r>
          <w:r w:rsidRPr="005132C9">
            <w:rPr>
              <w:noProof/>
              <w:color w:val="000000"/>
              <w:sz w:val="16"/>
              <w:szCs w:val="16"/>
            </w:rPr>
            <w:fldChar w:fldCharType="end"/>
          </w:r>
          <w:r w:rsidRPr="005132C9">
            <w:rPr>
              <w:noProof/>
              <w:color w:val="000000"/>
              <w:sz w:val="16"/>
              <w:szCs w:val="16"/>
            </w:rPr>
            <w:t xml:space="preserve"> of </w:t>
          </w:r>
          <w:r w:rsidRPr="005132C9">
            <w:rPr>
              <w:noProof/>
              <w:color w:val="000000"/>
              <w:sz w:val="16"/>
              <w:szCs w:val="16"/>
            </w:rPr>
            <w:fldChar w:fldCharType="begin"/>
          </w:r>
          <w:r w:rsidRPr="005132C9">
            <w:rPr>
              <w:noProof/>
              <w:color w:val="000000"/>
              <w:sz w:val="16"/>
              <w:szCs w:val="16"/>
            </w:rPr>
            <w:instrText xml:space="preserve"> NUMPAGES   \* MERGEFORMAT </w:instrText>
          </w:r>
          <w:r w:rsidRPr="005132C9">
            <w:rPr>
              <w:noProof/>
              <w:color w:val="000000"/>
              <w:sz w:val="16"/>
              <w:szCs w:val="16"/>
            </w:rPr>
            <w:fldChar w:fldCharType="separate"/>
          </w:r>
          <w:r w:rsidR="006C76F3">
            <w:rPr>
              <w:noProof/>
              <w:color w:val="000000"/>
              <w:sz w:val="16"/>
              <w:szCs w:val="16"/>
            </w:rPr>
            <w:t>9</w:t>
          </w:r>
          <w:r w:rsidRPr="005132C9">
            <w:rPr>
              <w:noProof/>
              <w:color w:val="000000"/>
              <w:sz w:val="16"/>
              <w:szCs w:val="16"/>
            </w:rPr>
            <w:fldChar w:fldCharType="end"/>
          </w:r>
        </w:p>
      </w:tc>
      <w:tc>
        <w:tcPr>
          <w:tcW w:w="4219" w:type="dxa"/>
          <w:vAlign w:val="bottom"/>
        </w:tcPr>
        <w:p w:rsidR="000F5922" w:rsidRPr="005132C9" w:rsidRDefault="000F5922" w:rsidP="006D2B82">
          <w:pPr>
            <w:spacing w:before="0" w:after="0" w:line="240" w:lineRule="auto"/>
            <w:jc w:val="right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>Public</w:t>
          </w:r>
        </w:p>
      </w:tc>
    </w:tr>
    <w:tr w:rsidR="000F5922" w:rsidRPr="005132C9" w:rsidTr="006569DB">
      <w:trPr>
        <w:trHeight w:hRule="exact" w:val="216"/>
      </w:trPr>
      <w:tc>
        <w:tcPr>
          <w:tcW w:w="3744" w:type="dxa"/>
          <w:vAlign w:val="bottom"/>
        </w:tcPr>
        <w:p w:rsidR="000F5922" w:rsidRPr="005132C9" w:rsidRDefault="000F5922" w:rsidP="006D2B82">
          <w:pPr>
            <w:tabs>
              <w:tab w:val="clear" w:pos="720"/>
            </w:tabs>
            <w:spacing w:before="0" w:after="0" w:line="240" w:lineRule="auto"/>
            <w:jc w:val="left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>Stakeholder Comment Form</w:t>
          </w:r>
        </w:p>
      </w:tc>
      <w:tc>
        <w:tcPr>
          <w:tcW w:w="1483" w:type="dxa"/>
          <w:vAlign w:val="bottom"/>
        </w:tcPr>
        <w:p w:rsidR="000F5922" w:rsidRPr="005132C9" w:rsidRDefault="000F5922" w:rsidP="006D2B82">
          <w:pPr>
            <w:spacing w:before="0" w:after="0" w:line="240" w:lineRule="auto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4219" w:type="dxa"/>
          <w:vAlign w:val="bottom"/>
        </w:tcPr>
        <w:p w:rsidR="000F5922" w:rsidRPr="005132C9" w:rsidRDefault="00955FA9" w:rsidP="00276740">
          <w:pPr>
            <w:spacing w:before="0"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April 10</w:t>
          </w:r>
          <w:r w:rsidR="000F5922">
            <w:rPr>
              <w:color w:val="000000"/>
              <w:sz w:val="16"/>
              <w:szCs w:val="16"/>
            </w:rPr>
            <w:t>, 2017</w:t>
          </w:r>
        </w:p>
      </w:tc>
    </w:tr>
  </w:tbl>
  <w:p w:rsidR="000F5922" w:rsidRPr="0074440B" w:rsidRDefault="000F5922" w:rsidP="00D02C6B">
    <w:pPr>
      <w:spacing w:before="0" w:after="0"/>
      <w:jc w:val="left"/>
      <w:rPr>
        <w:color w:val="FFFFFF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0" w:type="dxa"/>
      <w:tblInd w:w="108" w:type="dxa"/>
      <w:tblLook w:val="04A0" w:firstRow="1" w:lastRow="0" w:firstColumn="1" w:lastColumn="0" w:noHBand="0" w:noVBand="1"/>
    </w:tblPr>
    <w:tblGrid>
      <w:gridCol w:w="3745"/>
      <w:gridCol w:w="1484"/>
      <w:gridCol w:w="4221"/>
    </w:tblGrid>
    <w:tr w:rsidR="000F5922" w:rsidRPr="005132C9" w:rsidTr="001150B1">
      <w:trPr>
        <w:trHeight w:hRule="exact" w:val="216"/>
      </w:trPr>
      <w:tc>
        <w:tcPr>
          <w:tcW w:w="3744" w:type="dxa"/>
          <w:vAlign w:val="bottom"/>
        </w:tcPr>
        <w:p w:rsidR="000F5922" w:rsidRPr="005132C9" w:rsidRDefault="000F5922" w:rsidP="00BA00A8">
          <w:pPr>
            <w:tabs>
              <w:tab w:val="clear" w:pos="720"/>
            </w:tabs>
            <w:spacing w:before="0" w:after="0"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AESO 2018 ISO Tariff Consultation</w:t>
          </w:r>
        </w:p>
      </w:tc>
      <w:tc>
        <w:tcPr>
          <w:tcW w:w="1483" w:type="dxa"/>
          <w:vAlign w:val="bottom"/>
        </w:tcPr>
        <w:p w:rsidR="000F5922" w:rsidRPr="005132C9" w:rsidRDefault="000F5922" w:rsidP="001150B1">
          <w:pPr>
            <w:spacing w:before="0" w:after="0" w:line="240" w:lineRule="auto"/>
            <w:jc w:val="center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 xml:space="preserve">Page </w:t>
          </w:r>
          <w:r w:rsidRPr="005132C9">
            <w:rPr>
              <w:color w:val="000000"/>
              <w:sz w:val="16"/>
              <w:szCs w:val="16"/>
            </w:rPr>
            <w:fldChar w:fldCharType="begin"/>
          </w:r>
          <w:r w:rsidRPr="005132C9">
            <w:rPr>
              <w:color w:val="000000"/>
              <w:sz w:val="16"/>
              <w:szCs w:val="16"/>
            </w:rPr>
            <w:instrText xml:space="preserve"> PAGE   \* MERGEFORMAT </w:instrText>
          </w:r>
          <w:r w:rsidRPr="005132C9">
            <w:rPr>
              <w:color w:val="000000"/>
              <w:sz w:val="16"/>
              <w:szCs w:val="16"/>
            </w:rPr>
            <w:fldChar w:fldCharType="separate"/>
          </w:r>
          <w:r w:rsidR="006C76F3">
            <w:rPr>
              <w:noProof/>
              <w:color w:val="000000"/>
              <w:sz w:val="16"/>
              <w:szCs w:val="16"/>
            </w:rPr>
            <w:t>1</w:t>
          </w:r>
          <w:r w:rsidRPr="005132C9">
            <w:rPr>
              <w:noProof/>
              <w:color w:val="000000"/>
              <w:sz w:val="16"/>
              <w:szCs w:val="16"/>
            </w:rPr>
            <w:fldChar w:fldCharType="end"/>
          </w:r>
          <w:r w:rsidRPr="005132C9">
            <w:rPr>
              <w:noProof/>
              <w:color w:val="000000"/>
              <w:sz w:val="16"/>
              <w:szCs w:val="16"/>
            </w:rPr>
            <w:t xml:space="preserve"> of </w:t>
          </w:r>
          <w:r w:rsidRPr="005132C9">
            <w:rPr>
              <w:noProof/>
              <w:color w:val="000000"/>
              <w:sz w:val="16"/>
              <w:szCs w:val="16"/>
            </w:rPr>
            <w:fldChar w:fldCharType="begin"/>
          </w:r>
          <w:r w:rsidRPr="005132C9">
            <w:rPr>
              <w:noProof/>
              <w:color w:val="000000"/>
              <w:sz w:val="16"/>
              <w:szCs w:val="16"/>
            </w:rPr>
            <w:instrText xml:space="preserve"> NUMPAGES   \* MERGEFORMAT </w:instrText>
          </w:r>
          <w:r w:rsidRPr="005132C9">
            <w:rPr>
              <w:noProof/>
              <w:color w:val="000000"/>
              <w:sz w:val="16"/>
              <w:szCs w:val="16"/>
            </w:rPr>
            <w:fldChar w:fldCharType="separate"/>
          </w:r>
          <w:r w:rsidR="006C76F3">
            <w:rPr>
              <w:noProof/>
              <w:color w:val="000000"/>
              <w:sz w:val="16"/>
              <w:szCs w:val="16"/>
            </w:rPr>
            <w:t>9</w:t>
          </w:r>
          <w:r w:rsidRPr="005132C9">
            <w:rPr>
              <w:noProof/>
              <w:color w:val="000000"/>
              <w:sz w:val="16"/>
              <w:szCs w:val="16"/>
            </w:rPr>
            <w:fldChar w:fldCharType="end"/>
          </w:r>
        </w:p>
      </w:tc>
      <w:tc>
        <w:tcPr>
          <w:tcW w:w="4219" w:type="dxa"/>
          <w:vAlign w:val="bottom"/>
        </w:tcPr>
        <w:p w:rsidR="000F5922" w:rsidRPr="005132C9" w:rsidRDefault="000F5922" w:rsidP="001150B1">
          <w:pPr>
            <w:spacing w:before="0" w:after="0" w:line="240" w:lineRule="auto"/>
            <w:jc w:val="right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>Public</w:t>
          </w:r>
        </w:p>
      </w:tc>
    </w:tr>
    <w:tr w:rsidR="000F5922" w:rsidRPr="005132C9" w:rsidTr="001150B1">
      <w:trPr>
        <w:trHeight w:hRule="exact" w:val="216"/>
      </w:trPr>
      <w:tc>
        <w:tcPr>
          <w:tcW w:w="3744" w:type="dxa"/>
          <w:vAlign w:val="bottom"/>
        </w:tcPr>
        <w:p w:rsidR="000F5922" w:rsidRPr="005132C9" w:rsidRDefault="000F5922" w:rsidP="001150B1">
          <w:pPr>
            <w:tabs>
              <w:tab w:val="clear" w:pos="720"/>
            </w:tabs>
            <w:spacing w:before="0" w:after="0" w:line="240" w:lineRule="auto"/>
            <w:jc w:val="left"/>
            <w:rPr>
              <w:color w:val="000000"/>
              <w:sz w:val="16"/>
              <w:szCs w:val="16"/>
            </w:rPr>
          </w:pPr>
          <w:r w:rsidRPr="005132C9">
            <w:rPr>
              <w:color w:val="000000"/>
              <w:sz w:val="16"/>
              <w:szCs w:val="16"/>
            </w:rPr>
            <w:t>Stakeholder Comment Form</w:t>
          </w:r>
        </w:p>
      </w:tc>
      <w:tc>
        <w:tcPr>
          <w:tcW w:w="1483" w:type="dxa"/>
          <w:vAlign w:val="bottom"/>
        </w:tcPr>
        <w:p w:rsidR="000F5922" w:rsidRPr="005132C9" w:rsidRDefault="000F5922" w:rsidP="001150B1">
          <w:pPr>
            <w:spacing w:before="0" w:after="0" w:line="240" w:lineRule="auto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4219" w:type="dxa"/>
          <w:vAlign w:val="bottom"/>
        </w:tcPr>
        <w:p w:rsidR="000F5922" w:rsidRPr="005132C9" w:rsidRDefault="00955FA9" w:rsidP="00276740">
          <w:pPr>
            <w:spacing w:before="0"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April 10</w:t>
          </w:r>
          <w:r w:rsidR="000F5922">
            <w:rPr>
              <w:color w:val="000000"/>
              <w:sz w:val="16"/>
              <w:szCs w:val="16"/>
            </w:rPr>
            <w:t>, 2017</w:t>
          </w:r>
        </w:p>
      </w:tc>
    </w:tr>
  </w:tbl>
  <w:p w:rsidR="000F5922" w:rsidRPr="0074440B" w:rsidRDefault="000F5922" w:rsidP="00D02C6B">
    <w:pPr>
      <w:pStyle w:val="Footer"/>
      <w:spacing w:before="0" w:after="0" w:line="240" w:lineRule="auto"/>
      <w:jc w:val="left"/>
      <w:rPr>
        <w:color w:val="FFFFFF"/>
        <w:sz w:val="12"/>
        <w:szCs w:val="12"/>
        <w:lang w:eastAsia="en-CA"/>
      </w:rPr>
    </w:pPr>
    <w:r>
      <w:rPr>
        <w:noProof/>
      </w:rPr>
      <w:drawing>
        <wp:anchor distT="0" distB="0" distL="114300" distR="114300" simplePos="0" relativeHeight="251656704" behindDoc="1" locked="1" layoutInCell="1" allowOverlap="0" wp14:anchorId="0A24866B" wp14:editId="36455A03">
          <wp:simplePos x="0" y="0"/>
          <wp:positionH relativeFrom="page">
            <wp:align>center</wp:align>
          </wp:positionH>
          <wp:positionV relativeFrom="page">
            <wp:posOffset>9555480</wp:posOffset>
          </wp:positionV>
          <wp:extent cx="7766050" cy="688975"/>
          <wp:effectExtent l="0" t="0" r="6350" b="0"/>
          <wp:wrapNone/>
          <wp:docPr id="6" name="Picture 6" descr="Description: Description: AESO Stationery Address MAS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AESO Stationery Address MAS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2" w:rsidRDefault="000F5922" w:rsidP="00477A36">
      <w:pPr>
        <w:spacing w:after="0" w:line="240" w:lineRule="auto"/>
      </w:pPr>
      <w:r>
        <w:separator/>
      </w:r>
    </w:p>
    <w:p w:rsidR="000F5922" w:rsidRDefault="000F5922"/>
  </w:footnote>
  <w:footnote w:type="continuationSeparator" w:id="0">
    <w:p w:rsidR="000F5922" w:rsidRDefault="000F5922" w:rsidP="00477A36">
      <w:pPr>
        <w:spacing w:after="0" w:line="240" w:lineRule="auto"/>
      </w:pPr>
      <w:r>
        <w:continuationSeparator/>
      </w:r>
    </w:p>
    <w:p w:rsidR="000F5922" w:rsidRDefault="000F5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F3" w:rsidRDefault="006C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2" w:rsidRPr="0074440B" w:rsidRDefault="000F5922">
    <w:pPr>
      <w:pStyle w:val="Header"/>
      <w:rPr>
        <w:color w:val="FFFFFF"/>
      </w:rPr>
    </w:pPr>
    <w:r>
      <w:rPr>
        <w:noProof/>
      </w:rPr>
      <w:drawing>
        <wp:anchor distT="0" distB="0" distL="114300" distR="114300" simplePos="0" relativeHeight="251658752" behindDoc="1" locked="1" layoutInCell="0" allowOverlap="1" wp14:anchorId="1CED353A" wp14:editId="531FB7E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88"/>
    </w:tblGrid>
    <w:tr w:rsidR="000F5922" w:rsidRPr="005132C9" w:rsidTr="00B931F5">
      <w:trPr>
        <w:trHeight w:val="1584"/>
      </w:trPr>
      <w:tc>
        <w:tcPr>
          <w:tcW w:w="7488" w:type="dxa"/>
          <w:shd w:val="clear" w:color="auto" w:fill="auto"/>
          <w:vAlign w:val="bottom"/>
        </w:tcPr>
        <w:p w:rsidR="000F5922" w:rsidRPr="005132C9" w:rsidRDefault="000F5922" w:rsidP="00844D2E">
          <w:pPr>
            <w:pStyle w:val="FactSheetTitle"/>
            <w:rPr>
              <w:sz w:val="28"/>
              <w:szCs w:val="28"/>
            </w:rPr>
          </w:pPr>
          <w:r w:rsidRPr="005132C9">
            <w:rPr>
              <w:sz w:val="28"/>
              <w:szCs w:val="28"/>
            </w:rPr>
            <w:t xml:space="preserve">Request for Stakeholder Comments </w:t>
          </w:r>
          <w:r>
            <w:rPr>
              <w:sz w:val="28"/>
              <w:szCs w:val="28"/>
            </w:rPr>
            <w:t>on</w:t>
          </w:r>
          <w:r>
            <w:rPr>
              <w:sz w:val="28"/>
              <w:szCs w:val="28"/>
            </w:rPr>
            <w:br/>
            <w:t>AESO</w:t>
          </w:r>
          <w:r w:rsidRPr="005132C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2018 ISO Tariff Consultation</w:t>
          </w:r>
        </w:p>
      </w:tc>
    </w:tr>
    <w:tr w:rsidR="000F5922" w:rsidTr="00B931F5">
      <w:trPr>
        <w:trHeight w:val="288"/>
      </w:trPr>
      <w:tc>
        <w:tcPr>
          <w:tcW w:w="7488" w:type="dxa"/>
          <w:shd w:val="clear" w:color="auto" w:fill="auto"/>
          <w:vAlign w:val="bottom"/>
        </w:tcPr>
        <w:p w:rsidR="000F5922" w:rsidRPr="00B931F5" w:rsidRDefault="000F5922" w:rsidP="00B931F5">
          <w:pPr>
            <w:spacing w:before="0" w:after="0" w:line="240" w:lineRule="auto"/>
            <w:jc w:val="left"/>
            <w:rPr>
              <w:b/>
              <w:sz w:val="16"/>
              <w:szCs w:val="16"/>
            </w:rPr>
          </w:pPr>
        </w:p>
      </w:tc>
    </w:tr>
  </w:tbl>
  <w:p w:rsidR="000F5922" w:rsidRPr="00B931F5" w:rsidRDefault="000F5922" w:rsidP="005830EC">
    <w:pPr>
      <w:spacing w:before="0" w:after="0" w:line="240" w:lineRule="auto"/>
      <w:rPr>
        <w:color w:val="FFFFFF"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1" layoutInCell="1" allowOverlap="0" wp14:anchorId="09EA54CB" wp14:editId="7DC39A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90815" cy="1764665"/>
          <wp:effectExtent l="0" t="0" r="635" b="6985"/>
          <wp:wrapNone/>
          <wp:docPr id="5" name="Picture 5" descr="Description: Description: AESO Bann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AESO Bann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1F5">
      <w:rPr>
        <w:color w:val="FFFFFF"/>
        <w:sz w:val="12"/>
        <w:szCs w:val="12"/>
      </w:rPr>
      <w:fldChar w:fldCharType="begin"/>
    </w:r>
    <w:r w:rsidRPr="00B931F5">
      <w:rPr>
        <w:color w:val="FFFFFF"/>
        <w:sz w:val="12"/>
        <w:szCs w:val="12"/>
      </w:rPr>
      <w:instrText xml:space="preserve"> COMMENTS  \* Caps  \* MERGEFORMAT </w:instrText>
    </w:r>
    <w:r w:rsidRPr="00B931F5">
      <w:rPr>
        <w:color w:val="FFFFFF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19B"/>
    <w:multiLevelType w:val="hybridMultilevel"/>
    <w:tmpl w:val="88C22422"/>
    <w:lvl w:ilvl="0" w:tplc="1F7E6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A2"/>
    <w:multiLevelType w:val="hybridMultilevel"/>
    <w:tmpl w:val="92706EC6"/>
    <w:lvl w:ilvl="0" w:tplc="BDC243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C1B"/>
    <w:multiLevelType w:val="hybridMultilevel"/>
    <w:tmpl w:val="244A8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ADA"/>
    <w:multiLevelType w:val="hybridMultilevel"/>
    <w:tmpl w:val="34A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432B"/>
    <w:multiLevelType w:val="hybridMultilevel"/>
    <w:tmpl w:val="F872F75A"/>
    <w:lvl w:ilvl="0" w:tplc="D0E8F48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2F81"/>
    <w:multiLevelType w:val="hybridMultilevel"/>
    <w:tmpl w:val="5EA2D50E"/>
    <w:lvl w:ilvl="0" w:tplc="D0E8F488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05D2E"/>
    <w:multiLevelType w:val="hybridMultilevel"/>
    <w:tmpl w:val="F158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777C2"/>
    <w:multiLevelType w:val="hybridMultilevel"/>
    <w:tmpl w:val="301E7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F5EE1"/>
    <w:multiLevelType w:val="hybridMultilevel"/>
    <w:tmpl w:val="544E8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EF40D5"/>
    <w:multiLevelType w:val="hybridMultilevel"/>
    <w:tmpl w:val="CFE2B412"/>
    <w:lvl w:ilvl="0" w:tplc="264A59C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112E"/>
    <w:multiLevelType w:val="multilevel"/>
    <w:tmpl w:val="4648B490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1">
    <w:nsid w:val="20D41F59"/>
    <w:multiLevelType w:val="hybridMultilevel"/>
    <w:tmpl w:val="AA32E8FC"/>
    <w:lvl w:ilvl="0" w:tplc="264A59C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55144"/>
    <w:multiLevelType w:val="hybridMultilevel"/>
    <w:tmpl w:val="A82A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535C"/>
    <w:multiLevelType w:val="hybridMultilevel"/>
    <w:tmpl w:val="5330B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E52FC8"/>
    <w:multiLevelType w:val="hybridMultilevel"/>
    <w:tmpl w:val="B3B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3050"/>
    <w:multiLevelType w:val="hybridMultilevel"/>
    <w:tmpl w:val="E83E4A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27839"/>
    <w:multiLevelType w:val="hybridMultilevel"/>
    <w:tmpl w:val="C9429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8627A7"/>
    <w:multiLevelType w:val="hybridMultilevel"/>
    <w:tmpl w:val="D0A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14E43"/>
    <w:multiLevelType w:val="hybridMultilevel"/>
    <w:tmpl w:val="3E80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pStyle w:val="TOC1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74EB1"/>
    <w:multiLevelType w:val="hybridMultilevel"/>
    <w:tmpl w:val="DF7AE262"/>
    <w:lvl w:ilvl="0" w:tplc="264A59C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97F45"/>
    <w:multiLevelType w:val="hybridMultilevel"/>
    <w:tmpl w:val="9386F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3104B1B"/>
    <w:multiLevelType w:val="hybridMultilevel"/>
    <w:tmpl w:val="FF529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2F277D"/>
    <w:multiLevelType w:val="hybridMultilevel"/>
    <w:tmpl w:val="FE72128E"/>
    <w:lvl w:ilvl="0" w:tplc="9F2497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5104"/>
    <w:multiLevelType w:val="hybridMultilevel"/>
    <w:tmpl w:val="A28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B2804"/>
    <w:multiLevelType w:val="hybridMultilevel"/>
    <w:tmpl w:val="CA78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AE431D"/>
    <w:multiLevelType w:val="hybridMultilevel"/>
    <w:tmpl w:val="F0849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686661"/>
    <w:multiLevelType w:val="hybridMultilevel"/>
    <w:tmpl w:val="D3E81244"/>
    <w:lvl w:ilvl="0" w:tplc="D0E8F48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86687"/>
    <w:multiLevelType w:val="hybridMultilevel"/>
    <w:tmpl w:val="41E8D0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15E0E"/>
    <w:multiLevelType w:val="hybridMultilevel"/>
    <w:tmpl w:val="EF92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F47F5"/>
    <w:multiLevelType w:val="hybridMultilevel"/>
    <w:tmpl w:val="A75C1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80ABC"/>
    <w:multiLevelType w:val="hybridMultilevel"/>
    <w:tmpl w:val="F0D00D0C"/>
    <w:lvl w:ilvl="0" w:tplc="D0E8F48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7351E"/>
    <w:multiLevelType w:val="hybridMultilevel"/>
    <w:tmpl w:val="0144CCF0"/>
    <w:lvl w:ilvl="0" w:tplc="264A59C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0"/>
  </w:num>
  <w:num w:numId="5">
    <w:abstractNumId w:val="15"/>
  </w:num>
  <w:num w:numId="6">
    <w:abstractNumId w:val="29"/>
  </w:num>
  <w:num w:numId="7">
    <w:abstractNumId w:val="21"/>
  </w:num>
  <w:num w:numId="8">
    <w:abstractNumId w:val="1"/>
  </w:num>
  <w:num w:numId="9">
    <w:abstractNumId w:val="14"/>
  </w:num>
  <w:num w:numId="10">
    <w:abstractNumId w:val="12"/>
  </w:num>
  <w:num w:numId="11">
    <w:abstractNumId w:val="25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28"/>
  </w:num>
  <w:num w:numId="17">
    <w:abstractNumId w:val="16"/>
  </w:num>
  <w:num w:numId="18">
    <w:abstractNumId w:val="4"/>
  </w:num>
  <w:num w:numId="19">
    <w:abstractNumId w:val="30"/>
  </w:num>
  <w:num w:numId="20">
    <w:abstractNumId w:val="26"/>
  </w:num>
  <w:num w:numId="21">
    <w:abstractNumId w:val="18"/>
  </w:num>
  <w:num w:numId="22">
    <w:abstractNumId w:val="7"/>
  </w:num>
  <w:num w:numId="23">
    <w:abstractNumId w:val="32"/>
  </w:num>
  <w:num w:numId="24">
    <w:abstractNumId w:val="5"/>
  </w:num>
  <w:num w:numId="25">
    <w:abstractNumId w:val="2"/>
  </w:num>
  <w:num w:numId="26">
    <w:abstractNumId w:val="24"/>
  </w:num>
  <w:num w:numId="27">
    <w:abstractNumId w:val="13"/>
  </w:num>
  <w:num w:numId="28">
    <w:abstractNumId w:val="23"/>
  </w:num>
  <w:num w:numId="29">
    <w:abstractNumId w:val="33"/>
  </w:num>
  <w:num w:numId="30">
    <w:abstractNumId w:val="3"/>
  </w:num>
  <w:num w:numId="31">
    <w:abstractNumId w:val="6"/>
  </w:num>
  <w:num w:numId="32">
    <w:abstractNumId w:val="31"/>
  </w:num>
  <w:num w:numId="33">
    <w:abstractNumId w:val="2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ocumentProtection w:formatting="1" w:enforcement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5"/>
    <w:rsid w:val="0000797B"/>
    <w:rsid w:val="000112B8"/>
    <w:rsid w:val="00012B1D"/>
    <w:rsid w:val="000132BF"/>
    <w:rsid w:val="00017EEB"/>
    <w:rsid w:val="00025139"/>
    <w:rsid w:val="000274DE"/>
    <w:rsid w:val="00040B2A"/>
    <w:rsid w:val="000456B4"/>
    <w:rsid w:val="000617C7"/>
    <w:rsid w:val="000626AF"/>
    <w:rsid w:val="00064807"/>
    <w:rsid w:val="00065C56"/>
    <w:rsid w:val="00067515"/>
    <w:rsid w:val="0007175B"/>
    <w:rsid w:val="0007181E"/>
    <w:rsid w:val="00073930"/>
    <w:rsid w:val="000A12F0"/>
    <w:rsid w:val="000A3E21"/>
    <w:rsid w:val="000A7114"/>
    <w:rsid w:val="000D122F"/>
    <w:rsid w:val="000D1B71"/>
    <w:rsid w:val="000D5AE1"/>
    <w:rsid w:val="000E5FF0"/>
    <w:rsid w:val="000F5922"/>
    <w:rsid w:val="0010260C"/>
    <w:rsid w:val="00103888"/>
    <w:rsid w:val="00110989"/>
    <w:rsid w:val="001150B1"/>
    <w:rsid w:val="00125F61"/>
    <w:rsid w:val="00141657"/>
    <w:rsid w:val="00142336"/>
    <w:rsid w:val="00151649"/>
    <w:rsid w:val="0015396D"/>
    <w:rsid w:val="00166AAD"/>
    <w:rsid w:val="00176801"/>
    <w:rsid w:val="00177720"/>
    <w:rsid w:val="00177C11"/>
    <w:rsid w:val="0018689B"/>
    <w:rsid w:val="00197C55"/>
    <w:rsid w:val="001A19E7"/>
    <w:rsid w:val="001A2B1C"/>
    <w:rsid w:val="001A5362"/>
    <w:rsid w:val="001B4883"/>
    <w:rsid w:val="001B71EB"/>
    <w:rsid w:val="001C3C3E"/>
    <w:rsid w:val="001D1C53"/>
    <w:rsid w:val="001D29F1"/>
    <w:rsid w:val="001D3737"/>
    <w:rsid w:val="001D46B9"/>
    <w:rsid w:val="001D5E84"/>
    <w:rsid w:val="001E664A"/>
    <w:rsid w:val="001F2342"/>
    <w:rsid w:val="0020573B"/>
    <w:rsid w:val="002072BF"/>
    <w:rsid w:val="00210421"/>
    <w:rsid w:val="00210D3E"/>
    <w:rsid w:val="00211C01"/>
    <w:rsid w:val="00231399"/>
    <w:rsid w:val="00234218"/>
    <w:rsid w:val="002354F2"/>
    <w:rsid w:val="002412FE"/>
    <w:rsid w:val="00244C63"/>
    <w:rsid w:val="0024502E"/>
    <w:rsid w:val="0025260E"/>
    <w:rsid w:val="002600AB"/>
    <w:rsid w:val="00261BE4"/>
    <w:rsid w:val="00264BB8"/>
    <w:rsid w:val="00265BD8"/>
    <w:rsid w:val="00273023"/>
    <w:rsid w:val="00275D9C"/>
    <w:rsid w:val="00276740"/>
    <w:rsid w:val="002773CA"/>
    <w:rsid w:val="002846E7"/>
    <w:rsid w:val="002874C2"/>
    <w:rsid w:val="002926BD"/>
    <w:rsid w:val="00293657"/>
    <w:rsid w:val="00295817"/>
    <w:rsid w:val="00296287"/>
    <w:rsid w:val="002A1A39"/>
    <w:rsid w:val="002A6006"/>
    <w:rsid w:val="002B281F"/>
    <w:rsid w:val="002C2AC9"/>
    <w:rsid w:val="002C3817"/>
    <w:rsid w:val="002D743A"/>
    <w:rsid w:val="002E282F"/>
    <w:rsid w:val="002E42F1"/>
    <w:rsid w:val="002E4CB1"/>
    <w:rsid w:val="002F6A2C"/>
    <w:rsid w:val="003100FF"/>
    <w:rsid w:val="00320014"/>
    <w:rsid w:val="003307E4"/>
    <w:rsid w:val="00332C49"/>
    <w:rsid w:val="00336E7E"/>
    <w:rsid w:val="00344256"/>
    <w:rsid w:val="00353702"/>
    <w:rsid w:val="00360455"/>
    <w:rsid w:val="003729F9"/>
    <w:rsid w:val="00375CF0"/>
    <w:rsid w:val="003764D0"/>
    <w:rsid w:val="0038560E"/>
    <w:rsid w:val="0038561D"/>
    <w:rsid w:val="003A4EEA"/>
    <w:rsid w:val="003B2347"/>
    <w:rsid w:val="003C2B07"/>
    <w:rsid w:val="003C2E9C"/>
    <w:rsid w:val="003D0E4B"/>
    <w:rsid w:val="003D216E"/>
    <w:rsid w:val="003D3FF3"/>
    <w:rsid w:val="003D716A"/>
    <w:rsid w:val="003E022F"/>
    <w:rsid w:val="003F1303"/>
    <w:rsid w:val="00406BA0"/>
    <w:rsid w:val="004127D2"/>
    <w:rsid w:val="0042258C"/>
    <w:rsid w:val="00445DD6"/>
    <w:rsid w:val="00450691"/>
    <w:rsid w:val="00453408"/>
    <w:rsid w:val="00465A54"/>
    <w:rsid w:val="00473477"/>
    <w:rsid w:val="0047610C"/>
    <w:rsid w:val="0047733C"/>
    <w:rsid w:val="004779F7"/>
    <w:rsid w:val="00477A36"/>
    <w:rsid w:val="00481FFD"/>
    <w:rsid w:val="00490500"/>
    <w:rsid w:val="004953F1"/>
    <w:rsid w:val="00497FE0"/>
    <w:rsid w:val="004A1C4F"/>
    <w:rsid w:val="004B11D8"/>
    <w:rsid w:val="004B1FE4"/>
    <w:rsid w:val="004B30DA"/>
    <w:rsid w:val="004B3E77"/>
    <w:rsid w:val="004B5E68"/>
    <w:rsid w:val="004B75C7"/>
    <w:rsid w:val="004C5F39"/>
    <w:rsid w:val="004C7884"/>
    <w:rsid w:val="004D337D"/>
    <w:rsid w:val="004D7917"/>
    <w:rsid w:val="004E03F0"/>
    <w:rsid w:val="004E690D"/>
    <w:rsid w:val="004F018E"/>
    <w:rsid w:val="004F1723"/>
    <w:rsid w:val="004F1E47"/>
    <w:rsid w:val="0050619D"/>
    <w:rsid w:val="005132C9"/>
    <w:rsid w:val="0052749C"/>
    <w:rsid w:val="00534062"/>
    <w:rsid w:val="00535FA7"/>
    <w:rsid w:val="00542009"/>
    <w:rsid w:val="0055411C"/>
    <w:rsid w:val="005615A0"/>
    <w:rsid w:val="00562156"/>
    <w:rsid w:val="00562DB9"/>
    <w:rsid w:val="0056615F"/>
    <w:rsid w:val="00570091"/>
    <w:rsid w:val="005708D0"/>
    <w:rsid w:val="005830EC"/>
    <w:rsid w:val="00583B70"/>
    <w:rsid w:val="005A1ECC"/>
    <w:rsid w:val="005B0CF1"/>
    <w:rsid w:val="005B0D96"/>
    <w:rsid w:val="005B616A"/>
    <w:rsid w:val="005B7D76"/>
    <w:rsid w:val="005C010C"/>
    <w:rsid w:val="005C2E2D"/>
    <w:rsid w:val="005C3166"/>
    <w:rsid w:val="005C6521"/>
    <w:rsid w:val="005D0A37"/>
    <w:rsid w:val="005E7068"/>
    <w:rsid w:val="0061550C"/>
    <w:rsid w:val="00626C50"/>
    <w:rsid w:val="0064184E"/>
    <w:rsid w:val="006450F7"/>
    <w:rsid w:val="0065113A"/>
    <w:rsid w:val="00654E22"/>
    <w:rsid w:val="006569DB"/>
    <w:rsid w:val="00672722"/>
    <w:rsid w:val="00680DC7"/>
    <w:rsid w:val="006864BB"/>
    <w:rsid w:val="006864D5"/>
    <w:rsid w:val="00686779"/>
    <w:rsid w:val="00690D83"/>
    <w:rsid w:val="00696036"/>
    <w:rsid w:val="006A1F7E"/>
    <w:rsid w:val="006A2D2E"/>
    <w:rsid w:val="006A3B4C"/>
    <w:rsid w:val="006A6CA4"/>
    <w:rsid w:val="006B1724"/>
    <w:rsid w:val="006B29C4"/>
    <w:rsid w:val="006C44A2"/>
    <w:rsid w:val="006C76F3"/>
    <w:rsid w:val="006D2B82"/>
    <w:rsid w:val="006D5E0B"/>
    <w:rsid w:val="006D6EA6"/>
    <w:rsid w:val="006E084E"/>
    <w:rsid w:val="006E14CC"/>
    <w:rsid w:val="006E1AB5"/>
    <w:rsid w:val="006E4DED"/>
    <w:rsid w:val="007013BD"/>
    <w:rsid w:val="007037B0"/>
    <w:rsid w:val="00703CDE"/>
    <w:rsid w:val="0070632D"/>
    <w:rsid w:val="007169B4"/>
    <w:rsid w:val="0072491E"/>
    <w:rsid w:val="00727CF2"/>
    <w:rsid w:val="00741425"/>
    <w:rsid w:val="0074440B"/>
    <w:rsid w:val="0075057C"/>
    <w:rsid w:val="00752049"/>
    <w:rsid w:val="007525BA"/>
    <w:rsid w:val="00752794"/>
    <w:rsid w:val="007554B7"/>
    <w:rsid w:val="00781AA1"/>
    <w:rsid w:val="00786563"/>
    <w:rsid w:val="00786FD4"/>
    <w:rsid w:val="00793480"/>
    <w:rsid w:val="007A5FA5"/>
    <w:rsid w:val="007B114C"/>
    <w:rsid w:val="007C28C0"/>
    <w:rsid w:val="007D40E8"/>
    <w:rsid w:val="007E712A"/>
    <w:rsid w:val="007F1576"/>
    <w:rsid w:val="007F547A"/>
    <w:rsid w:val="007F5E5E"/>
    <w:rsid w:val="008001A1"/>
    <w:rsid w:val="00803397"/>
    <w:rsid w:val="0080527F"/>
    <w:rsid w:val="00812641"/>
    <w:rsid w:val="00813E63"/>
    <w:rsid w:val="00827E48"/>
    <w:rsid w:val="008304B4"/>
    <w:rsid w:val="0083411F"/>
    <w:rsid w:val="008372CE"/>
    <w:rsid w:val="0084128E"/>
    <w:rsid w:val="00844D2E"/>
    <w:rsid w:val="0085319D"/>
    <w:rsid w:val="00855DDE"/>
    <w:rsid w:val="00856013"/>
    <w:rsid w:val="00867BF2"/>
    <w:rsid w:val="00872A30"/>
    <w:rsid w:val="00893130"/>
    <w:rsid w:val="008A0A7C"/>
    <w:rsid w:val="008A5DEE"/>
    <w:rsid w:val="008B06B6"/>
    <w:rsid w:val="008B3685"/>
    <w:rsid w:val="008B5705"/>
    <w:rsid w:val="008C140B"/>
    <w:rsid w:val="008C7F6B"/>
    <w:rsid w:val="008D5C35"/>
    <w:rsid w:val="008E4380"/>
    <w:rsid w:val="008E5C57"/>
    <w:rsid w:val="008E7690"/>
    <w:rsid w:val="008F329A"/>
    <w:rsid w:val="00904B63"/>
    <w:rsid w:val="00911FCE"/>
    <w:rsid w:val="009148B0"/>
    <w:rsid w:val="009218E0"/>
    <w:rsid w:val="00927B98"/>
    <w:rsid w:val="00931CE5"/>
    <w:rsid w:val="0093316F"/>
    <w:rsid w:val="009433C1"/>
    <w:rsid w:val="009449C3"/>
    <w:rsid w:val="009503C8"/>
    <w:rsid w:val="00950FE0"/>
    <w:rsid w:val="0095436E"/>
    <w:rsid w:val="00955FA9"/>
    <w:rsid w:val="00963A55"/>
    <w:rsid w:val="009719EB"/>
    <w:rsid w:val="00975336"/>
    <w:rsid w:val="00975811"/>
    <w:rsid w:val="00983B4D"/>
    <w:rsid w:val="0099178D"/>
    <w:rsid w:val="009B4057"/>
    <w:rsid w:val="009B7EC6"/>
    <w:rsid w:val="009C3D22"/>
    <w:rsid w:val="009C62B1"/>
    <w:rsid w:val="009E6CF9"/>
    <w:rsid w:val="009F3374"/>
    <w:rsid w:val="00A122C2"/>
    <w:rsid w:val="00A20B3E"/>
    <w:rsid w:val="00A234FE"/>
    <w:rsid w:val="00A354A1"/>
    <w:rsid w:val="00A365A7"/>
    <w:rsid w:val="00A433AE"/>
    <w:rsid w:val="00A4394E"/>
    <w:rsid w:val="00A465CF"/>
    <w:rsid w:val="00A524EB"/>
    <w:rsid w:val="00A53DF3"/>
    <w:rsid w:val="00A55862"/>
    <w:rsid w:val="00AB1825"/>
    <w:rsid w:val="00AB3D95"/>
    <w:rsid w:val="00AD1A6B"/>
    <w:rsid w:val="00AD2A7C"/>
    <w:rsid w:val="00AE17F3"/>
    <w:rsid w:val="00AE1E54"/>
    <w:rsid w:val="00AE73DA"/>
    <w:rsid w:val="00AF36ED"/>
    <w:rsid w:val="00B00A95"/>
    <w:rsid w:val="00B07992"/>
    <w:rsid w:val="00B13026"/>
    <w:rsid w:val="00B14118"/>
    <w:rsid w:val="00B21F06"/>
    <w:rsid w:val="00B23617"/>
    <w:rsid w:val="00B30D5B"/>
    <w:rsid w:val="00B31B55"/>
    <w:rsid w:val="00B44713"/>
    <w:rsid w:val="00B50261"/>
    <w:rsid w:val="00B86401"/>
    <w:rsid w:val="00B87CEA"/>
    <w:rsid w:val="00B91B7F"/>
    <w:rsid w:val="00B931F5"/>
    <w:rsid w:val="00B9664B"/>
    <w:rsid w:val="00BA00A8"/>
    <w:rsid w:val="00BA218A"/>
    <w:rsid w:val="00BA3789"/>
    <w:rsid w:val="00BA56C9"/>
    <w:rsid w:val="00BA70E6"/>
    <w:rsid w:val="00BD0A93"/>
    <w:rsid w:val="00BD3871"/>
    <w:rsid w:val="00BE0F74"/>
    <w:rsid w:val="00BE293D"/>
    <w:rsid w:val="00BE38D4"/>
    <w:rsid w:val="00C03108"/>
    <w:rsid w:val="00C053D2"/>
    <w:rsid w:val="00C14C0B"/>
    <w:rsid w:val="00C40CAC"/>
    <w:rsid w:val="00C43FFE"/>
    <w:rsid w:val="00C441E5"/>
    <w:rsid w:val="00C56583"/>
    <w:rsid w:val="00C565A3"/>
    <w:rsid w:val="00C67BB0"/>
    <w:rsid w:val="00C75335"/>
    <w:rsid w:val="00C83BBA"/>
    <w:rsid w:val="00C8636B"/>
    <w:rsid w:val="00C95D75"/>
    <w:rsid w:val="00C96368"/>
    <w:rsid w:val="00CC02B5"/>
    <w:rsid w:val="00CC29AE"/>
    <w:rsid w:val="00CC5929"/>
    <w:rsid w:val="00CD3619"/>
    <w:rsid w:val="00CF5217"/>
    <w:rsid w:val="00CF616B"/>
    <w:rsid w:val="00D02C6B"/>
    <w:rsid w:val="00D1308B"/>
    <w:rsid w:val="00D13383"/>
    <w:rsid w:val="00D16B21"/>
    <w:rsid w:val="00D20B78"/>
    <w:rsid w:val="00D262B8"/>
    <w:rsid w:val="00D40ACB"/>
    <w:rsid w:val="00D46140"/>
    <w:rsid w:val="00D53120"/>
    <w:rsid w:val="00D64708"/>
    <w:rsid w:val="00D74366"/>
    <w:rsid w:val="00D76BD8"/>
    <w:rsid w:val="00D776F3"/>
    <w:rsid w:val="00D801FE"/>
    <w:rsid w:val="00D80E09"/>
    <w:rsid w:val="00D828FB"/>
    <w:rsid w:val="00D85EC0"/>
    <w:rsid w:val="00D966C5"/>
    <w:rsid w:val="00D96BB0"/>
    <w:rsid w:val="00DA0132"/>
    <w:rsid w:val="00DA3C61"/>
    <w:rsid w:val="00DA5749"/>
    <w:rsid w:val="00DB346D"/>
    <w:rsid w:val="00DB71A9"/>
    <w:rsid w:val="00DB7930"/>
    <w:rsid w:val="00DC083A"/>
    <w:rsid w:val="00DC555A"/>
    <w:rsid w:val="00DE5955"/>
    <w:rsid w:val="00DE7A16"/>
    <w:rsid w:val="00DF62A3"/>
    <w:rsid w:val="00E16D55"/>
    <w:rsid w:val="00E23B14"/>
    <w:rsid w:val="00E3444C"/>
    <w:rsid w:val="00E52929"/>
    <w:rsid w:val="00E54BEB"/>
    <w:rsid w:val="00E66465"/>
    <w:rsid w:val="00E678E7"/>
    <w:rsid w:val="00E70430"/>
    <w:rsid w:val="00E71D2B"/>
    <w:rsid w:val="00E741E2"/>
    <w:rsid w:val="00E93B6B"/>
    <w:rsid w:val="00EA5486"/>
    <w:rsid w:val="00EA77CF"/>
    <w:rsid w:val="00EB3BC3"/>
    <w:rsid w:val="00EB5AD9"/>
    <w:rsid w:val="00EC466C"/>
    <w:rsid w:val="00ED456B"/>
    <w:rsid w:val="00EE7161"/>
    <w:rsid w:val="00F00766"/>
    <w:rsid w:val="00F071CA"/>
    <w:rsid w:val="00F110C9"/>
    <w:rsid w:val="00F133D3"/>
    <w:rsid w:val="00F146B2"/>
    <w:rsid w:val="00F1535E"/>
    <w:rsid w:val="00F242CF"/>
    <w:rsid w:val="00F31AEF"/>
    <w:rsid w:val="00F32A08"/>
    <w:rsid w:val="00F34B26"/>
    <w:rsid w:val="00F477AD"/>
    <w:rsid w:val="00F55CCF"/>
    <w:rsid w:val="00F56C96"/>
    <w:rsid w:val="00F71504"/>
    <w:rsid w:val="00F73C9D"/>
    <w:rsid w:val="00F815D6"/>
    <w:rsid w:val="00F93F04"/>
    <w:rsid w:val="00FA2C79"/>
    <w:rsid w:val="00FB4093"/>
    <w:rsid w:val="00FC5414"/>
    <w:rsid w:val="00FC639C"/>
    <w:rsid w:val="00FD3425"/>
    <w:rsid w:val="00FE0F25"/>
    <w:rsid w:val="00FE2695"/>
    <w:rsid w:val="00FE56A0"/>
    <w:rsid w:val="00FF102B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/>
    <w:lsdException w:name="heading 2" w:uiPriority="0" w:unhideWhenUsed="1"/>
    <w:lsdException w:name="heading 3" w:uiPriority="0" w:unhideWhenUsed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 w:qFormat="1"/>
    <w:lsdException w:name="Default Paragraph Font" w:uiPriority="0" w:unhideWhenUsed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AAD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rsid w:val="00752794"/>
    <w:pPr>
      <w:keepNext/>
      <w:keepLines/>
      <w:numPr>
        <w:numId w:val="1"/>
      </w:numPr>
      <w:tabs>
        <w:tab w:val="clear" w:pos="720"/>
      </w:tabs>
      <w:spacing w:before="360" w:line="240" w:lineRule="auto"/>
      <w:jc w:val="left"/>
      <w:outlineLvl w:val="0"/>
    </w:pPr>
    <w:rPr>
      <w:rFonts w:cs="Arial"/>
      <w:b/>
      <w:bCs/>
      <w:color w:val="00407A"/>
      <w:sz w:val="24"/>
      <w:szCs w:val="40"/>
    </w:rPr>
  </w:style>
  <w:style w:type="paragraph" w:styleId="Heading2">
    <w:name w:val="heading 2"/>
    <w:basedOn w:val="Normal"/>
    <w:next w:val="Normal"/>
    <w:link w:val="Heading2Char"/>
    <w:semiHidden/>
    <w:rsid w:val="00752794"/>
    <w:pPr>
      <w:numPr>
        <w:ilvl w:val="1"/>
        <w:numId w:val="1"/>
      </w:numPr>
      <w:tabs>
        <w:tab w:val="clear" w:pos="720"/>
      </w:tabs>
      <w:spacing w:line="240" w:lineRule="auto"/>
      <w:jc w:val="left"/>
      <w:outlineLvl w:val="1"/>
    </w:pPr>
    <w:rPr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semiHidden/>
    <w:rsid w:val="00752794"/>
    <w:pPr>
      <w:numPr>
        <w:ilvl w:val="2"/>
      </w:numPr>
      <w:tabs>
        <w:tab w:val="left" w:pos="180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752794"/>
    <w:rPr>
      <w:rFonts w:ascii="Arial" w:eastAsia="Times New Roman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link w:val="Heading2"/>
    <w:semiHidden/>
    <w:rsid w:val="00752794"/>
    <w:rPr>
      <w:rFonts w:ascii="Arial" w:eastAsia="Times New Roman" w:hAnsi="Arial"/>
      <w:b/>
      <w:bCs/>
      <w:color w:val="00407A"/>
      <w:sz w:val="22"/>
      <w:szCs w:val="22"/>
    </w:rPr>
  </w:style>
  <w:style w:type="character" w:customStyle="1" w:styleId="Heading3Char">
    <w:name w:val="Heading 3 Char"/>
    <w:link w:val="Heading3"/>
    <w:semiHidden/>
    <w:rsid w:val="00752794"/>
    <w:rPr>
      <w:rFonts w:ascii="Arial" w:eastAsia="Times New Roman" w:hAnsi="Arial"/>
      <w:b/>
      <w:bCs/>
      <w:color w:val="00407A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LetterBody"/>
    <w:semiHidden/>
    <w:rsid w:val="00752794"/>
    <w:pPr>
      <w:tabs>
        <w:tab w:val="left" w:pos="1440"/>
      </w:tabs>
      <w:ind w:left="1440"/>
    </w:pPr>
  </w:style>
  <w:style w:type="paragraph" w:customStyle="1" w:styleId="LetterBody">
    <w:name w:val="Letter Body"/>
    <w:basedOn w:val="Normal"/>
    <w:semiHidden/>
    <w:rsid w:val="00752794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2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qFormat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PhotoCaption">
    <w:name w:val="Photo Caption"/>
    <w:basedOn w:val="Caption"/>
    <w:next w:val="Normal"/>
    <w:rsid w:val="00752794"/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752794"/>
    <w:pPr>
      <w:tabs>
        <w:tab w:val="clear" w:pos="720"/>
        <w:tab w:val="left" w:pos="1080"/>
        <w:tab w:val="right" w:leader="dot" w:pos="7920"/>
      </w:tabs>
      <w:spacing w:line="240" w:lineRule="auto"/>
      <w:ind w:left="1080" w:hanging="720"/>
      <w:jc w:val="left"/>
    </w:pPr>
    <w:rPr>
      <w:iCs/>
      <w:sz w:val="18"/>
      <w:szCs w:val="20"/>
    </w:rPr>
  </w:style>
  <w:style w:type="paragraph" w:styleId="TOC1">
    <w:name w:val="toc 1"/>
    <w:basedOn w:val="Normal"/>
    <w:next w:val="Normal"/>
    <w:semiHidden/>
    <w:rsid w:val="00752794"/>
    <w:pPr>
      <w:numPr>
        <w:ilvl w:val="2"/>
        <w:numId w:val="3"/>
      </w:numPr>
      <w:tabs>
        <w:tab w:val="clear" w:pos="720"/>
        <w:tab w:val="left" w:pos="360"/>
        <w:tab w:val="right" w:leader="dot" w:pos="7920"/>
      </w:tabs>
      <w:spacing w:line="240" w:lineRule="auto"/>
      <w:jc w:val="left"/>
    </w:pPr>
    <w:rPr>
      <w:b/>
      <w:bCs/>
      <w:color w:val="00407A"/>
      <w:szCs w:val="20"/>
    </w:rPr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LetterBody"/>
    <w:next w:val="LetterBody"/>
    <w:semiHidden/>
    <w:rsid w:val="00752794"/>
    <w:pPr>
      <w:spacing w:after="480"/>
    </w:pPr>
    <w:rPr>
      <w:noProof/>
      <w:szCs w:val="20"/>
      <w:lang w:eastAsia="en-CA"/>
    </w:rPr>
  </w:style>
  <w:style w:type="paragraph" w:customStyle="1" w:styleId="ClosingLetter">
    <w:name w:val="Closing Letter"/>
    <w:basedOn w:val="LetterBody"/>
    <w:next w:val="NameofWriter"/>
    <w:semiHidden/>
    <w:rsid w:val="00752794"/>
    <w:pPr>
      <w:tabs>
        <w:tab w:val="left" w:pos="360"/>
      </w:tabs>
      <w:spacing w:before="720"/>
    </w:pPr>
    <w:rPr>
      <w:szCs w:val="20"/>
    </w:rPr>
  </w:style>
  <w:style w:type="paragraph" w:customStyle="1" w:styleId="NameofWriter">
    <w:name w:val="Name of Writer"/>
    <w:basedOn w:val="LetterBody"/>
    <w:next w:val="AESOtitle"/>
    <w:semiHidden/>
    <w:rsid w:val="00752794"/>
    <w:pPr>
      <w:tabs>
        <w:tab w:val="left" w:pos="360"/>
      </w:tabs>
      <w:spacing w:before="1120"/>
    </w:pPr>
    <w:rPr>
      <w:szCs w:val="20"/>
    </w:rPr>
  </w:style>
  <w:style w:type="paragraph" w:customStyle="1" w:styleId="AESOtitle">
    <w:name w:val="AESO title"/>
    <w:basedOn w:val="LetterBody"/>
    <w:semiHidden/>
    <w:rsid w:val="00752794"/>
    <w:pPr>
      <w:tabs>
        <w:tab w:val="left" w:pos="360"/>
      </w:tabs>
      <w:spacing w:before="0" w:line="240" w:lineRule="auto"/>
    </w:pPr>
    <w:rPr>
      <w:i/>
      <w:sz w:val="16"/>
      <w:szCs w:val="20"/>
    </w:rPr>
  </w:style>
  <w:style w:type="paragraph" w:customStyle="1" w:styleId="Formoreinformation">
    <w:name w:val="For more information"/>
    <w:basedOn w:val="BasicParagraph"/>
    <w:semiHidden/>
    <w:qFormat/>
    <w:rsid w:val="00752794"/>
    <w:pPr>
      <w:tabs>
        <w:tab w:val="left" w:pos="1340"/>
      </w:tabs>
      <w:spacing w:before="480" w:after="80" w:line="240" w:lineRule="auto"/>
      <w:ind w:left="360"/>
    </w:pPr>
    <w:rPr>
      <w:rFonts w:ascii="Arial" w:hAnsi="Arial" w:cs="Arial"/>
      <w:b/>
      <w:bCs/>
      <w:sz w:val="18"/>
      <w:szCs w:val="18"/>
    </w:rPr>
  </w:style>
  <w:style w:type="paragraph" w:customStyle="1" w:styleId="Formore-Name">
    <w:name w:val="For more- Name"/>
    <w:basedOn w:val="BasicParagraph"/>
    <w:semiHidden/>
    <w:qFormat/>
    <w:rsid w:val="00752794"/>
    <w:pPr>
      <w:tabs>
        <w:tab w:val="left" w:pos="1340"/>
      </w:tabs>
      <w:suppressAutoHyphens/>
      <w:spacing w:after="20"/>
      <w:ind w:left="360"/>
    </w:pPr>
    <w:rPr>
      <w:rFonts w:ascii="Arial" w:hAnsi="Arial" w:cs="Arial"/>
      <w:b/>
      <w:bCs/>
      <w:sz w:val="16"/>
      <w:szCs w:val="16"/>
    </w:rPr>
  </w:style>
  <w:style w:type="paragraph" w:customStyle="1" w:styleId="Formore-Department">
    <w:name w:val="For more - Department"/>
    <w:basedOn w:val="Formore-Name"/>
    <w:semiHidden/>
    <w:qFormat/>
    <w:rsid w:val="00752794"/>
    <w:pPr>
      <w:spacing w:before="60" w:after="120" w:line="240" w:lineRule="auto"/>
    </w:pPr>
    <w:rPr>
      <w:i/>
      <w:iCs/>
      <w:sz w:val="14"/>
      <w:szCs w:val="14"/>
    </w:rPr>
  </w:style>
  <w:style w:type="paragraph" w:customStyle="1" w:styleId="Formore-contact">
    <w:name w:val="For more - contact"/>
    <w:basedOn w:val="BasicParagraph"/>
    <w:semiHidden/>
    <w:rsid w:val="00752794"/>
    <w:pPr>
      <w:tabs>
        <w:tab w:val="left" w:pos="1340"/>
      </w:tabs>
      <w:suppressAutoHyphens/>
      <w:spacing w:after="20"/>
      <w:ind w:left="360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Formore-contact"/>
    <w:semiHidden/>
    <w:rsid w:val="00752794"/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rsid w:val="00166AAD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after="0" w:line="240" w:lineRule="auto"/>
      <w:jc w:val="left"/>
      <w:textAlignment w:val="center"/>
    </w:pPr>
    <w:rPr>
      <w:rFonts w:cs="Arial"/>
      <w:bCs/>
      <w:color w:val="FFFFFF"/>
      <w:sz w:val="36"/>
      <w:szCs w:val="48"/>
    </w:rPr>
  </w:style>
  <w:style w:type="character" w:customStyle="1" w:styleId="DateChar">
    <w:name w:val="Date Char"/>
    <w:link w:val="Date"/>
    <w:uiPriority w:val="99"/>
    <w:semiHidden/>
    <w:rsid w:val="00752794"/>
    <w:rPr>
      <w:rFonts w:ascii="Arial" w:eastAsia="Times New Roman" w:hAnsi="Arial" w:cs="Arial"/>
      <w:bCs/>
      <w:color w:val="FFFFFF"/>
      <w:sz w:val="36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2794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paragraph" w:customStyle="1" w:styleId="FactSheetTitle">
    <w:name w:val="Fact Sheet Title"/>
    <w:basedOn w:val="AgendaTitle"/>
    <w:qFormat/>
    <w:rsid w:val="005830EC"/>
    <w:pPr>
      <w:spacing w:after="120"/>
    </w:pPr>
  </w:style>
  <w:style w:type="paragraph" w:customStyle="1" w:styleId="FactSheetHeading1">
    <w:name w:val="Fact Sheet Heading 1"/>
    <w:basedOn w:val="BasicParagraph"/>
    <w:next w:val="Normal"/>
    <w:qFormat/>
    <w:rsid w:val="00073930"/>
    <w:pPr>
      <w:tabs>
        <w:tab w:val="clear" w:pos="720"/>
        <w:tab w:val="left" w:pos="0"/>
      </w:tabs>
      <w:spacing w:after="200" w:line="240" w:lineRule="auto"/>
      <w:jc w:val="left"/>
    </w:pPr>
    <w:rPr>
      <w:rFonts w:ascii="Arial" w:hAnsi="Arial" w:cs="Arial"/>
      <w:b/>
      <w:bCs/>
      <w:color w:val="00407A"/>
      <w:sz w:val="32"/>
      <w:szCs w:val="32"/>
    </w:rPr>
  </w:style>
  <w:style w:type="paragraph" w:customStyle="1" w:styleId="FactSheetBody">
    <w:name w:val="Fact Sheet Body"/>
    <w:basedOn w:val="LetterBody"/>
    <w:qFormat/>
    <w:rsid w:val="00073930"/>
    <w:pPr>
      <w:spacing w:before="60" w:after="200" w:line="250" w:lineRule="exact"/>
      <w:ind w:left="0"/>
    </w:pPr>
    <w:rPr>
      <w:rFonts w:cs="Arial"/>
    </w:rPr>
  </w:style>
  <w:style w:type="paragraph" w:customStyle="1" w:styleId="FactSheetHeading2">
    <w:name w:val="Fact Sheet Heading 2"/>
    <w:basedOn w:val="Date"/>
    <w:next w:val="Normal"/>
    <w:qFormat/>
    <w:rsid w:val="00073930"/>
    <w:pPr>
      <w:spacing w:before="120" w:after="120"/>
    </w:pPr>
    <w:rPr>
      <w:b/>
      <w:bCs w:val="0"/>
      <w:color w:val="00407A"/>
      <w:sz w:val="24"/>
    </w:rPr>
  </w:style>
  <w:style w:type="paragraph" w:customStyle="1" w:styleId="FactSheetHeading3">
    <w:name w:val="Fact Sheet Heading 3"/>
    <w:basedOn w:val="Normal"/>
    <w:next w:val="Normal"/>
    <w:qFormat/>
    <w:rsid w:val="0007393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</w:pPr>
    <w:rPr>
      <w:rFonts w:cs="Arial"/>
      <w:b/>
      <w:i/>
      <w:color w:val="00407A"/>
      <w:szCs w:val="20"/>
    </w:rPr>
  </w:style>
  <w:style w:type="paragraph" w:customStyle="1" w:styleId="AgendaTitle">
    <w:name w:val="Agenda Title"/>
    <w:basedOn w:val="BasicParagraph"/>
    <w:rsid w:val="005830EC"/>
    <w:pPr>
      <w:tabs>
        <w:tab w:val="clear" w:pos="720"/>
        <w:tab w:val="left" w:pos="0"/>
      </w:tabs>
      <w:suppressAutoHyphens/>
      <w:spacing w:before="0" w:after="720" w:line="240" w:lineRule="auto"/>
      <w:jc w:val="left"/>
    </w:pPr>
    <w:rPr>
      <w:rFonts w:ascii="Arial" w:hAnsi="Arial" w:cs="Arial"/>
      <w:color w:val="FFFFFF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8F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32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9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9A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/>
    <w:lsdException w:name="heading 2" w:uiPriority="0" w:unhideWhenUsed="1"/>
    <w:lsdException w:name="heading 3" w:uiPriority="0" w:unhideWhenUsed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 w:qFormat="1"/>
    <w:lsdException w:name="Default Paragraph Font" w:uiPriority="0" w:unhideWhenUsed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AAD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rsid w:val="00752794"/>
    <w:pPr>
      <w:keepNext/>
      <w:keepLines/>
      <w:numPr>
        <w:numId w:val="1"/>
      </w:numPr>
      <w:tabs>
        <w:tab w:val="clear" w:pos="720"/>
      </w:tabs>
      <w:spacing w:before="360" w:line="240" w:lineRule="auto"/>
      <w:jc w:val="left"/>
      <w:outlineLvl w:val="0"/>
    </w:pPr>
    <w:rPr>
      <w:rFonts w:cs="Arial"/>
      <w:b/>
      <w:bCs/>
      <w:color w:val="00407A"/>
      <w:sz w:val="24"/>
      <w:szCs w:val="40"/>
    </w:rPr>
  </w:style>
  <w:style w:type="paragraph" w:styleId="Heading2">
    <w:name w:val="heading 2"/>
    <w:basedOn w:val="Normal"/>
    <w:next w:val="Normal"/>
    <w:link w:val="Heading2Char"/>
    <w:semiHidden/>
    <w:rsid w:val="00752794"/>
    <w:pPr>
      <w:numPr>
        <w:ilvl w:val="1"/>
        <w:numId w:val="1"/>
      </w:numPr>
      <w:tabs>
        <w:tab w:val="clear" w:pos="720"/>
      </w:tabs>
      <w:spacing w:line="240" w:lineRule="auto"/>
      <w:jc w:val="left"/>
      <w:outlineLvl w:val="1"/>
    </w:pPr>
    <w:rPr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semiHidden/>
    <w:rsid w:val="00752794"/>
    <w:pPr>
      <w:numPr>
        <w:ilvl w:val="2"/>
      </w:numPr>
      <w:tabs>
        <w:tab w:val="left" w:pos="180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752794"/>
    <w:rPr>
      <w:rFonts w:ascii="Arial" w:eastAsia="Times New Roman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link w:val="Heading2"/>
    <w:semiHidden/>
    <w:rsid w:val="00752794"/>
    <w:rPr>
      <w:rFonts w:ascii="Arial" w:eastAsia="Times New Roman" w:hAnsi="Arial"/>
      <w:b/>
      <w:bCs/>
      <w:color w:val="00407A"/>
      <w:sz w:val="22"/>
      <w:szCs w:val="22"/>
    </w:rPr>
  </w:style>
  <w:style w:type="character" w:customStyle="1" w:styleId="Heading3Char">
    <w:name w:val="Heading 3 Char"/>
    <w:link w:val="Heading3"/>
    <w:semiHidden/>
    <w:rsid w:val="00752794"/>
    <w:rPr>
      <w:rFonts w:ascii="Arial" w:eastAsia="Times New Roman" w:hAnsi="Arial"/>
      <w:b/>
      <w:bCs/>
      <w:color w:val="00407A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LetterBody"/>
    <w:semiHidden/>
    <w:rsid w:val="00752794"/>
    <w:pPr>
      <w:tabs>
        <w:tab w:val="left" w:pos="1440"/>
      </w:tabs>
      <w:ind w:left="1440"/>
    </w:pPr>
  </w:style>
  <w:style w:type="paragraph" w:customStyle="1" w:styleId="LetterBody">
    <w:name w:val="Letter Body"/>
    <w:basedOn w:val="Normal"/>
    <w:semiHidden/>
    <w:rsid w:val="00752794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2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qFormat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PhotoCaption">
    <w:name w:val="Photo Caption"/>
    <w:basedOn w:val="Caption"/>
    <w:next w:val="Normal"/>
    <w:rsid w:val="00752794"/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752794"/>
    <w:pPr>
      <w:tabs>
        <w:tab w:val="clear" w:pos="720"/>
        <w:tab w:val="left" w:pos="1080"/>
        <w:tab w:val="right" w:leader="dot" w:pos="7920"/>
      </w:tabs>
      <w:spacing w:line="240" w:lineRule="auto"/>
      <w:ind w:left="1080" w:hanging="720"/>
      <w:jc w:val="left"/>
    </w:pPr>
    <w:rPr>
      <w:iCs/>
      <w:sz w:val="18"/>
      <w:szCs w:val="20"/>
    </w:rPr>
  </w:style>
  <w:style w:type="paragraph" w:styleId="TOC1">
    <w:name w:val="toc 1"/>
    <w:basedOn w:val="Normal"/>
    <w:next w:val="Normal"/>
    <w:semiHidden/>
    <w:rsid w:val="00752794"/>
    <w:pPr>
      <w:numPr>
        <w:ilvl w:val="2"/>
        <w:numId w:val="3"/>
      </w:numPr>
      <w:tabs>
        <w:tab w:val="clear" w:pos="720"/>
        <w:tab w:val="left" w:pos="360"/>
        <w:tab w:val="right" w:leader="dot" w:pos="7920"/>
      </w:tabs>
      <w:spacing w:line="240" w:lineRule="auto"/>
      <w:jc w:val="left"/>
    </w:pPr>
    <w:rPr>
      <w:b/>
      <w:bCs/>
      <w:color w:val="00407A"/>
      <w:szCs w:val="20"/>
    </w:rPr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LetterBody"/>
    <w:next w:val="LetterBody"/>
    <w:semiHidden/>
    <w:rsid w:val="00752794"/>
    <w:pPr>
      <w:spacing w:after="480"/>
    </w:pPr>
    <w:rPr>
      <w:noProof/>
      <w:szCs w:val="20"/>
      <w:lang w:eastAsia="en-CA"/>
    </w:rPr>
  </w:style>
  <w:style w:type="paragraph" w:customStyle="1" w:styleId="ClosingLetter">
    <w:name w:val="Closing Letter"/>
    <w:basedOn w:val="LetterBody"/>
    <w:next w:val="NameofWriter"/>
    <w:semiHidden/>
    <w:rsid w:val="00752794"/>
    <w:pPr>
      <w:tabs>
        <w:tab w:val="left" w:pos="360"/>
      </w:tabs>
      <w:spacing w:before="720"/>
    </w:pPr>
    <w:rPr>
      <w:szCs w:val="20"/>
    </w:rPr>
  </w:style>
  <w:style w:type="paragraph" w:customStyle="1" w:styleId="NameofWriter">
    <w:name w:val="Name of Writer"/>
    <w:basedOn w:val="LetterBody"/>
    <w:next w:val="AESOtitle"/>
    <w:semiHidden/>
    <w:rsid w:val="00752794"/>
    <w:pPr>
      <w:tabs>
        <w:tab w:val="left" w:pos="360"/>
      </w:tabs>
      <w:spacing w:before="1120"/>
    </w:pPr>
    <w:rPr>
      <w:szCs w:val="20"/>
    </w:rPr>
  </w:style>
  <w:style w:type="paragraph" w:customStyle="1" w:styleId="AESOtitle">
    <w:name w:val="AESO title"/>
    <w:basedOn w:val="LetterBody"/>
    <w:semiHidden/>
    <w:rsid w:val="00752794"/>
    <w:pPr>
      <w:tabs>
        <w:tab w:val="left" w:pos="360"/>
      </w:tabs>
      <w:spacing w:before="0" w:line="240" w:lineRule="auto"/>
    </w:pPr>
    <w:rPr>
      <w:i/>
      <w:sz w:val="16"/>
      <w:szCs w:val="20"/>
    </w:rPr>
  </w:style>
  <w:style w:type="paragraph" w:customStyle="1" w:styleId="Formoreinformation">
    <w:name w:val="For more information"/>
    <w:basedOn w:val="BasicParagraph"/>
    <w:semiHidden/>
    <w:qFormat/>
    <w:rsid w:val="00752794"/>
    <w:pPr>
      <w:tabs>
        <w:tab w:val="left" w:pos="1340"/>
      </w:tabs>
      <w:spacing w:before="480" w:after="80" w:line="240" w:lineRule="auto"/>
      <w:ind w:left="360"/>
    </w:pPr>
    <w:rPr>
      <w:rFonts w:ascii="Arial" w:hAnsi="Arial" w:cs="Arial"/>
      <w:b/>
      <w:bCs/>
      <w:sz w:val="18"/>
      <w:szCs w:val="18"/>
    </w:rPr>
  </w:style>
  <w:style w:type="paragraph" w:customStyle="1" w:styleId="Formore-Name">
    <w:name w:val="For more- Name"/>
    <w:basedOn w:val="BasicParagraph"/>
    <w:semiHidden/>
    <w:qFormat/>
    <w:rsid w:val="00752794"/>
    <w:pPr>
      <w:tabs>
        <w:tab w:val="left" w:pos="1340"/>
      </w:tabs>
      <w:suppressAutoHyphens/>
      <w:spacing w:after="20"/>
      <w:ind w:left="360"/>
    </w:pPr>
    <w:rPr>
      <w:rFonts w:ascii="Arial" w:hAnsi="Arial" w:cs="Arial"/>
      <w:b/>
      <w:bCs/>
      <w:sz w:val="16"/>
      <w:szCs w:val="16"/>
    </w:rPr>
  </w:style>
  <w:style w:type="paragraph" w:customStyle="1" w:styleId="Formore-Department">
    <w:name w:val="For more - Department"/>
    <w:basedOn w:val="Formore-Name"/>
    <w:semiHidden/>
    <w:qFormat/>
    <w:rsid w:val="00752794"/>
    <w:pPr>
      <w:spacing w:before="60" w:after="120" w:line="240" w:lineRule="auto"/>
    </w:pPr>
    <w:rPr>
      <w:i/>
      <w:iCs/>
      <w:sz w:val="14"/>
      <w:szCs w:val="14"/>
    </w:rPr>
  </w:style>
  <w:style w:type="paragraph" w:customStyle="1" w:styleId="Formore-contact">
    <w:name w:val="For more - contact"/>
    <w:basedOn w:val="BasicParagraph"/>
    <w:semiHidden/>
    <w:rsid w:val="00752794"/>
    <w:pPr>
      <w:tabs>
        <w:tab w:val="left" w:pos="1340"/>
      </w:tabs>
      <w:suppressAutoHyphens/>
      <w:spacing w:after="20"/>
      <w:ind w:left="360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Formore-contact"/>
    <w:semiHidden/>
    <w:rsid w:val="00752794"/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rsid w:val="00166AAD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after="0" w:line="240" w:lineRule="auto"/>
      <w:jc w:val="left"/>
      <w:textAlignment w:val="center"/>
    </w:pPr>
    <w:rPr>
      <w:rFonts w:cs="Arial"/>
      <w:bCs/>
      <w:color w:val="FFFFFF"/>
      <w:sz w:val="36"/>
      <w:szCs w:val="48"/>
    </w:rPr>
  </w:style>
  <w:style w:type="character" w:customStyle="1" w:styleId="DateChar">
    <w:name w:val="Date Char"/>
    <w:link w:val="Date"/>
    <w:uiPriority w:val="99"/>
    <w:semiHidden/>
    <w:rsid w:val="00752794"/>
    <w:rPr>
      <w:rFonts w:ascii="Arial" w:eastAsia="Times New Roman" w:hAnsi="Arial" w:cs="Arial"/>
      <w:bCs/>
      <w:color w:val="FFFFFF"/>
      <w:sz w:val="36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2794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paragraph" w:customStyle="1" w:styleId="FactSheetTitle">
    <w:name w:val="Fact Sheet Title"/>
    <w:basedOn w:val="AgendaTitle"/>
    <w:qFormat/>
    <w:rsid w:val="005830EC"/>
    <w:pPr>
      <w:spacing w:after="120"/>
    </w:pPr>
  </w:style>
  <w:style w:type="paragraph" w:customStyle="1" w:styleId="FactSheetHeading1">
    <w:name w:val="Fact Sheet Heading 1"/>
    <w:basedOn w:val="BasicParagraph"/>
    <w:next w:val="Normal"/>
    <w:qFormat/>
    <w:rsid w:val="00073930"/>
    <w:pPr>
      <w:tabs>
        <w:tab w:val="clear" w:pos="720"/>
        <w:tab w:val="left" w:pos="0"/>
      </w:tabs>
      <w:spacing w:after="200" w:line="240" w:lineRule="auto"/>
      <w:jc w:val="left"/>
    </w:pPr>
    <w:rPr>
      <w:rFonts w:ascii="Arial" w:hAnsi="Arial" w:cs="Arial"/>
      <w:b/>
      <w:bCs/>
      <w:color w:val="00407A"/>
      <w:sz w:val="32"/>
      <w:szCs w:val="32"/>
    </w:rPr>
  </w:style>
  <w:style w:type="paragraph" w:customStyle="1" w:styleId="FactSheetBody">
    <w:name w:val="Fact Sheet Body"/>
    <w:basedOn w:val="LetterBody"/>
    <w:qFormat/>
    <w:rsid w:val="00073930"/>
    <w:pPr>
      <w:spacing w:before="60" w:after="200" w:line="250" w:lineRule="exact"/>
      <w:ind w:left="0"/>
    </w:pPr>
    <w:rPr>
      <w:rFonts w:cs="Arial"/>
    </w:rPr>
  </w:style>
  <w:style w:type="paragraph" w:customStyle="1" w:styleId="FactSheetHeading2">
    <w:name w:val="Fact Sheet Heading 2"/>
    <w:basedOn w:val="Date"/>
    <w:next w:val="Normal"/>
    <w:qFormat/>
    <w:rsid w:val="00073930"/>
    <w:pPr>
      <w:spacing w:before="120" w:after="120"/>
    </w:pPr>
    <w:rPr>
      <w:b/>
      <w:bCs w:val="0"/>
      <w:color w:val="00407A"/>
      <w:sz w:val="24"/>
    </w:rPr>
  </w:style>
  <w:style w:type="paragraph" w:customStyle="1" w:styleId="FactSheetHeading3">
    <w:name w:val="Fact Sheet Heading 3"/>
    <w:basedOn w:val="Normal"/>
    <w:next w:val="Normal"/>
    <w:qFormat/>
    <w:rsid w:val="0007393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</w:pPr>
    <w:rPr>
      <w:rFonts w:cs="Arial"/>
      <w:b/>
      <w:i/>
      <w:color w:val="00407A"/>
      <w:szCs w:val="20"/>
    </w:rPr>
  </w:style>
  <w:style w:type="paragraph" w:customStyle="1" w:styleId="AgendaTitle">
    <w:name w:val="Agenda Title"/>
    <w:basedOn w:val="BasicParagraph"/>
    <w:rsid w:val="005830EC"/>
    <w:pPr>
      <w:tabs>
        <w:tab w:val="clear" w:pos="720"/>
        <w:tab w:val="left" w:pos="0"/>
      </w:tabs>
      <w:suppressAutoHyphens/>
      <w:spacing w:before="0" w:after="720" w:line="240" w:lineRule="auto"/>
      <w:jc w:val="left"/>
    </w:pPr>
    <w:rPr>
      <w:rFonts w:ascii="Arial" w:hAnsi="Arial" w:cs="Arial"/>
      <w:color w:val="FFFFFF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8F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32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9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9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mailto:larhonda.papworth@aeso.ca?subject=2017%20Tariff%20Consultation%20-%20Comments" TargetMode="External"/><Relationship Id="rId19" Type="http://schemas.openxmlformats.org/officeDocument/2006/relationships/hyperlink" Target="mailto:larhonda.papworth@aeso.ca?subject=2017%20Tariff%20Consultation%20-%20Com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so.ca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3FB4-3049-4342-8D60-02963FD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10240</CharactersWithSpaces>
  <SharedDoc>false</SharedDoc>
  <HLinks>
    <vt:vector size="18" baseType="variant"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mailto:larhonda.papworth@aeso.ca?subject=2017%20Tariff%20Consultation%20-%20Comments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mailto:larhonda.papworth@aeso.ca?subject=2017%20Tariff%20Consultation%20-%20Comments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http://www.aeso.ca/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2017-04-19T15:11:00Z</dcterms:created>
  <dcterms:modified xsi:type="dcterms:W3CDTF">2017-04-19T15:11:00Z</dcterms:modified>
</cp:coreProperties>
</file>