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AB6B" w14:textId="77777777" w:rsidR="000C2B71" w:rsidRDefault="000C2B71" w:rsidP="00190635">
      <w:pPr>
        <w:pStyle w:val="BodyText"/>
      </w:pPr>
    </w:p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9728BC" w:rsidRPr="00BC502D" w14:paraId="6D50A6B6" w14:textId="77777777" w:rsidTr="00B23940">
        <w:trPr>
          <w:trHeight w:val="1205"/>
        </w:trPr>
        <w:tc>
          <w:tcPr>
            <w:tcW w:w="8532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2"/>
              <w:gridCol w:w="2493"/>
              <w:gridCol w:w="877"/>
              <w:gridCol w:w="2999"/>
            </w:tblGrid>
            <w:tr w:rsidR="009728BC" w:rsidRPr="0061591A" w14:paraId="46971C57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B1710" w14:textId="77777777" w:rsidR="009728BC" w:rsidRPr="0094641D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0AFEE" w14:textId="2DDE2541" w:rsidR="009728BC" w:rsidRPr="0061591A" w:rsidRDefault="005125F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26,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25B0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9DD0" w14:textId="11F6F015" w:rsidR="009728BC" w:rsidRPr="0061591A" w:rsidRDefault="005125F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November </w:t>
                  </w:r>
                  <w:r w:rsidR="0013221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9728BC" w:rsidRPr="0061591A" w14:paraId="52B84153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FF09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D669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728BC" w:rsidRPr="0061591A" w14:paraId="48DDBD09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EFC6D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[yyyy/mm/dd]: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AF6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9DF8D" w14:textId="77777777" w:rsidR="009728BC" w:rsidRPr="0061591A" w:rsidRDefault="009728BC" w:rsidP="00252BA1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4822"/>
            </w:tblGrid>
            <w:tr w:rsidR="009728BC" w:rsidRPr="0061591A" w14:paraId="513ED18C" w14:textId="77777777" w:rsidTr="00F81E4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29E4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E11D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728BC" w:rsidRPr="0061591A" w14:paraId="2E19882E" w14:textId="77777777" w:rsidTr="00F81E4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D879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9A6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728BC" w:rsidRPr="0061591A" w14:paraId="5FED2F47" w14:textId="77777777" w:rsidTr="00F81E4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19BD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3702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3B91AF" w14:textId="77777777" w:rsidR="009728BC" w:rsidRPr="0061591A" w:rsidRDefault="009728BC" w:rsidP="00252BA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A18808A" w14:textId="77777777" w:rsidR="009728BC" w:rsidRPr="00A74396" w:rsidRDefault="009728BC" w:rsidP="009728BC">
      <w:pPr>
        <w:keepNext/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Instructions: </w:t>
      </w:r>
      <w:r>
        <w:rPr>
          <w:rFonts w:ascii="Arial" w:hAnsi="Arial" w:cs="Arial"/>
          <w:b/>
          <w:sz w:val="22"/>
          <w:szCs w:val="20"/>
        </w:rPr>
        <w:tab/>
      </w:r>
      <w:bookmarkStart w:id="3" w:name="_GoBack"/>
      <w:bookmarkEnd w:id="3"/>
    </w:p>
    <w:p w14:paraId="290801AE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333537FE" w14:textId="46F09B1C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Please refer back to the </w:t>
      </w:r>
      <w:r w:rsidR="0057407C" w:rsidRPr="00A74396">
        <w:rPr>
          <w:rFonts w:ascii="Arial" w:hAnsi="Arial" w:cs="Arial"/>
          <w:b/>
          <w:i/>
          <w:sz w:val="22"/>
          <w:szCs w:val="20"/>
        </w:rPr>
        <w:t xml:space="preserve">Letter of Notice </w:t>
      </w:r>
      <w:r w:rsidR="0057407C">
        <w:rPr>
          <w:rFonts w:ascii="Arial" w:hAnsi="Arial" w:cs="Arial"/>
          <w:b/>
          <w:i/>
          <w:sz w:val="22"/>
          <w:szCs w:val="20"/>
        </w:rPr>
        <w:t xml:space="preserve">for Feedback on the Content of Proposed Options for Amended Section 505.2 </w:t>
      </w:r>
      <w:r w:rsidRPr="00A74396">
        <w:rPr>
          <w:rFonts w:ascii="Arial" w:hAnsi="Arial" w:cs="Arial"/>
          <w:b/>
          <w:sz w:val="22"/>
          <w:szCs w:val="20"/>
        </w:rPr>
        <w:t>under the “</w:t>
      </w:r>
      <w:r w:rsidR="009E3FF3">
        <w:rPr>
          <w:rFonts w:ascii="Arial" w:hAnsi="Arial" w:cs="Arial"/>
          <w:b/>
          <w:sz w:val="22"/>
          <w:szCs w:val="20"/>
        </w:rPr>
        <w:t>Related Materials</w:t>
      </w:r>
      <w:r w:rsidRPr="00A74396">
        <w:rPr>
          <w:rFonts w:ascii="Arial" w:hAnsi="Arial" w:cs="Arial"/>
          <w:b/>
          <w:sz w:val="22"/>
          <w:szCs w:val="20"/>
        </w:rPr>
        <w:t>” section to view the actual draft proposed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74396">
        <w:rPr>
          <w:rFonts w:ascii="Arial" w:hAnsi="Arial" w:cs="Arial"/>
          <w:b/>
          <w:sz w:val="22"/>
          <w:szCs w:val="20"/>
        </w:rPr>
        <w:t>materials</w:t>
      </w:r>
      <w:r w:rsidRPr="005125FB">
        <w:rPr>
          <w:rFonts w:ascii="Arial" w:hAnsi="Arial" w:cs="Arial"/>
          <w:b/>
          <w:sz w:val="22"/>
          <w:szCs w:val="20"/>
        </w:rPr>
        <w:t xml:space="preserve"> </w:t>
      </w:r>
      <w:r w:rsidR="0057407C">
        <w:rPr>
          <w:rFonts w:ascii="Arial" w:hAnsi="Arial" w:cs="Arial"/>
          <w:b/>
          <w:sz w:val="22"/>
          <w:szCs w:val="20"/>
        </w:rPr>
        <w:t xml:space="preserve">on </w:t>
      </w:r>
      <w:r w:rsidRPr="005125FB">
        <w:rPr>
          <w:rFonts w:ascii="Arial" w:hAnsi="Arial" w:cs="Arial"/>
          <w:b/>
          <w:sz w:val="22"/>
          <w:szCs w:val="20"/>
        </w:rPr>
        <w:t xml:space="preserve">amended </w:t>
      </w:r>
      <w:r w:rsidR="005125FB">
        <w:rPr>
          <w:rFonts w:ascii="Arial" w:hAnsi="Arial" w:cs="Arial"/>
          <w:b/>
          <w:sz w:val="22"/>
          <w:szCs w:val="20"/>
        </w:rPr>
        <w:t>Section 505.2.</w:t>
      </w:r>
    </w:p>
    <w:p w14:paraId="1BB1E591" w14:textId="4BF6BEAD" w:rsidR="009728BC" w:rsidRPr="00A74396" w:rsidRDefault="0057407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On the sections of the rule listed below, please </w:t>
      </w:r>
      <w:r w:rsidR="009728BC" w:rsidRPr="00A74396">
        <w:rPr>
          <w:rFonts w:ascii="Arial" w:hAnsi="Arial" w:cs="Arial"/>
          <w:b/>
          <w:sz w:val="22"/>
          <w:szCs w:val="20"/>
        </w:rPr>
        <w:t xml:space="preserve">provide your specific comments, proposed revisions, and reasons for your position underneath (if any). Blank boxes will be interpreted as favourable comments.  </w:t>
      </w:r>
    </w:p>
    <w:p w14:paraId="12C09A6F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3788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50"/>
        <w:gridCol w:w="7338"/>
      </w:tblGrid>
      <w:tr w:rsidR="0033122C" w:rsidRPr="004620DF" w14:paraId="6E6A054B" w14:textId="77777777" w:rsidTr="00483751">
        <w:trPr>
          <w:tblHeader/>
        </w:trPr>
        <w:tc>
          <w:tcPr>
            <w:tcW w:w="6450" w:type="dxa"/>
            <w:shd w:val="clear" w:color="auto" w:fill="365F91"/>
          </w:tcPr>
          <w:p w14:paraId="22563E63" w14:textId="55231482" w:rsidR="0033122C" w:rsidRPr="004F0230" w:rsidRDefault="0033122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7338" w:type="dxa"/>
            <w:shd w:val="clear" w:color="auto" w:fill="365F91"/>
          </w:tcPr>
          <w:p w14:paraId="61A41297" w14:textId="6CBDD2B7" w:rsidR="0033122C" w:rsidRPr="004F0230" w:rsidRDefault="0033122C" w:rsidP="00252BA1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omments </w:t>
            </w:r>
          </w:p>
        </w:tc>
      </w:tr>
      <w:tr w:rsidR="0033122C" w:rsidRPr="00752820" w14:paraId="7BC1D17D" w14:textId="77777777" w:rsidTr="00483751">
        <w:trPr>
          <w:trHeight w:val="305"/>
        </w:trPr>
        <w:tc>
          <w:tcPr>
            <w:tcW w:w="6450" w:type="dxa"/>
          </w:tcPr>
          <w:p w14:paraId="54D65205" w14:textId="5E9BC65B" w:rsidR="0033122C" w:rsidRPr="0045798F" w:rsidRDefault="00B76D3A" w:rsidP="00252BA1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Refund of Generating Unit Owner’s Contribution </w:t>
            </w:r>
          </w:p>
        </w:tc>
        <w:tc>
          <w:tcPr>
            <w:tcW w:w="7338" w:type="dxa"/>
            <w:shd w:val="clear" w:color="auto" w:fill="auto"/>
          </w:tcPr>
          <w:p w14:paraId="3D1578A3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752820" w14:paraId="0DDD59A9" w14:textId="77777777" w:rsidTr="00483751">
        <w:trPr>
          <w:trHeight w:val="1296"/>
        </w:trPr>
        <w:tc>
          <w:tcPr>
            <w:tcW w:w="6450" w:type="dxa"/>
          </w:tcPr>
          <w:p w14:paraId="5FF3D873" w14:textId="77777777" w:rsidR="00023145" w:rsidRPr="00023145" w:rsidRDefault="00023145" w:rsidP="00023145">
            <w:pPr>
              <w:tabs>
                <w:tab w:val="left" w:pos="540"/>
              </w:tabs>
              <w:spacing w:before="120" w:after="2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2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ab/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ISO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must calculate a refund for each calendar year during the refund period as follows:</w:t>
            </w:r>
          </w:p>
          <w:p w14:paraId="28C392A3" w14:textId="77777777" w:rsidR="00023145" w:rsidRPr="00023145" w:rsidRDefault="00023145" w:rsidP="00023145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20"/>
                <w:szCs w:val="20"/>
                <w:lang w:val="en-C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>refund=</m:t>
                </m:r>
                <m:d>
                  <m:dPr>
                    <m:ctrlPr>
                      <w:rPr>
                        <w:rFonts w:ascii="Cambria Math" w:hAnsi="Cambria Math" w:cs="Arial"/>
                        <w:iCs/>
                        <w:sz w:val="20"/>
                        <w:szCs w:val="20"/>
                        <w:lang w:val="en-C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CA"/>
                      </w:rPr>
                      <m:t>annual amount x availability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>x</m:t>
                </m:r>
                <m: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 xml:space="preserve"> (1-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>penalty factor)</m:t>
                </m:r>
              </m:oMath>
            </m:oMathPara>
          </w:p>
          <w:p w14:paraId="71DD4F67" w14:textId="77777777" w:rsidR="00023145" w:rsidRPr="00023145" w:rsidRDefault="00023145" w:rsidP="00023145">
            <w:pPr>
              <w:tabs>
                <w:tab w:val="left" w:pos="360"/>
              </w:tabs>
              <w:spacing w:before="120" w:after="2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>where:</w:t>
            </w:r>
          </w:p>
          <w:p w14:paraId="523C1A9A" w14:textId="77777777" w:rsidR="00023145" w:rsidRPr="00023145" w:rsidRDefault="00023145" w:rsidP="00023145">
            <w:pPr>
              <w:numPr>
                <w:ilvl w:val="0"/>
                <w:numId w:val="33"/>
              </w:numPr>
              <w:tabs>
                <w:tab w:val="left" w:pos="540"/>
                <w:tab w:val="left" w:pos="720"/>
              </w:tabs>
              <w:spacing w:before="120" w:after="240" w:line="288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annual amount is as specified in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ISO tariff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>;</w:t>
            </w:r>
          </w:p>
          <w:p w14:paraId="66D56D45" w14:textId="77777777" w:rsidR="00023145" w:rsidRPr="00023145" w:rsidRDefault="00023145" w:rsidP="00023145">
            <w:pPr>
              <w:numPr>
                <w:ilvl w:val="0"/>
                <w:numId w:val="33"/>
              </w:numPr>
              <w:tabs>
                <w:tab w:val="left" w:pos="540"/>
                <w:tab w:val="left" w:pos="720"/>
              </w:tabs>
              <w:spacing w:before="120" w:after="240" w:line="288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lastRenderedPageBreak/>
              <w:t>availability is the availability factor assessed for the calendar year in accordance with subsection 3(1); and</w:t>
            </w:r>
          </w:p>
          <w:p w14:paraId="24CDDC6A" w14:textId="77777777" w:rsidR="00023145" w:rsidRPr="00023145" w:rsidRDefault="00023145" w:rsidP="00023145">
            <w:pPr>
              <w:numPr>
                <w:ilvl w:val="0"/>
                <w:numId w:val="33"/>
              </w:numPr>
              <w:tabs>
                <w:tab w:val="left" w:pos="540"/>
                <w:tab w:val="left" w:pos="720"/>
              </w:tabs>
              <w:spacing w:before="120" w:after="240" w:line="288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>penalty factor is the penalty factor calculated for the calendar year in accordance with subsection 3(2).</w:t>
            </w:r>
          </w:p>
          <w:p w14:paraId="3C6A6F11" w14:textId="452DCE4E" w:rsidR="0033122C" w:rsidRPr="00752820" w:rsidRDefault="0033122C" w:rsidP="00B76D3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</w:tcPr>
          <w:p w14:paraId="5A33BCC3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D3A" w:rsidRPr="00752820" w14:paraId="7C0FB092" w14:textId="77777777" w:rsidTr="00483751">
        <w:trPr>
          <w:trHeight w:val="440"/>
        </w:trPr>
        <w:tc>
          <w:tcPr>
            <w:tcW w:w="6450" w:type="dxa"/>
          </w:tcPr>
          <w:p w14:paraId="06C3C1D7" w14:textId="5DBC9614" w:rsidR="00B76D3A" w:rsidRPr="0033122C" w:rsidRDefault="00B76D3A" w:rsidP="0033122C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Performance Assessment</w:t>
            </w:r>
          </w:p>
        </w:tc>
        <w:tc>
          <w:tcPr>
            <w:tcW w:w="7338" w:type="dxa"/>
            <w:shd w:val="clear" w:color="auto" w:fill="auto"/>
          </w:tcPr>
          <w:p w14:paraId="1EF01984" w14:textId="77777777" w:rsidR="00B76D3A" w:rsidRPr="00752820" w:rsidRDefault="00B76D3A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752820" w14:paraId="43CE3F08" w14:textId="77777777" w:rsidTr="00483751">
        <w:trPr>
          <w:trHeight w:val="1296"/>
        </w:trPr>
        <w:tc>
          <w:tcPr>
            <w:tcW w:w="6450" w:type="dxa"/>
          </w:tcPr>
          <w:p w14:paraId="5A896EF0" w14:textId="77777777" w:rsidR="00023145" w:rsidRPr="00023145" w:rsidRDefault="00023145" w:rsidP="00023145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b/>
                <w:sz w:val="20"/>
                <w:szCs w:val="20"/>
                <w:lang w:val="en-CA"/>
              </w:rPr>
              <w:t>3(1)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ISO 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must assess the availability of a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aggregated generating facility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as follows:</w:t>
            </w:r>
          </w:p>
          <w:p w14:paraId="6571C7EC" w14:textId="77777777" w:rsidR="00023145" w:rsidRPr="00023145" w:rsidRDefault="00023145" w:rsidP="00023145">
            <w:pPr>
              <w:tabs>
                <w:tab w:val="left" w:pos="720"/>
              </w:tabs>
              <w:spacing w:before="240"/>
              <w:ind w:left="72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(a) 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if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revenue meter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aggregated generating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facility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recorded metered energy in a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settlement interval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during the previous calendar year, availability factor is 100%;</w:t>
            </w:r>
          </w:p>
          <w:p w14:paraId="590FA7A9" w14:textId="77777777" w:rsidR="00023145" w:rsidRPr="00023145" w:rsidRDefault="00023145" w:rsidP="00023145">
            <w:pPr>
              <w:tabs>
                <w:tab w:val="left" w:pos="720"/>
              </w:tabs>
              <w:spacing w:before="240" w:after="240"/>
              <w:ind w:left="72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(b) 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if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revenue meter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aggregated generating facility 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recorded zero metered energy in all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settlement intervals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during the previous calendar year, availability factor is 0%.</w:t>
            </w:r>
          </w:p>
          <w:p w14:paraId="54EEA2D1" w14:textId="77D2D469" w:rsidR="0033122C" w:rsidRPr="00752820" w:rsidRDefault="0033122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</w:tcPr>
          <w:p w14:paraId="61E90769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752820" w14:paraId="23A217D7" w14:textId="77777777" w:rsidTr="00483751">
        <w:trPr>
          <w:trHeight w:val="1296"/>
        </w:trPr>
        <w:tc>
          <w:tcPr>
            <w:tcW w:w="6450" w:type="dxa"/>
          </w:tcPr>
          <w:p w14:paraId="2AFA4AF4" w14:textId="77777777" w:rsidR="00023145" w:rsidRPr="00023145" w:rsidRDefault="00023145" w:rsidP="00023145">
            <w:pPr>
              <w:tabs>
                <w:tab w:val="left" w:pos="540"/>
              </w:tabs>
              <w:spacing w:before="24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(2)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If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maximum capability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aggregated generating facility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on the first day of each calendar year during the refund period is less than its critical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maximum capability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,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ISO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must assess a penalty factor as follows: </w:t>
            </w:r>
          </w:p>
          <w:p w14:paraId="5F1A3C38" w14:textId="77777777" w:rsidR="00023145" w:rsidRPr="00023145" w:rsidRDefault="00023145" w:rsidP="00023145">
            <w:pPr>
              <w:tabs>
                <w:tab w:val="left" w:pos="540"/>
              </w:tabs>
              <w:spacing w:before="120"/>
              <w:ind w:left="540" w:hanging="180"/>
              <w:rPr>
                <w:rFonts w:ascii="Arial" w:hAnsi="Arial" w:cs="Arial"/>
                <w:sz w:val="20"/>
                <w:szCs w:val="20"/>
                <w:lang w:val="en-C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>penalty factor</m:t>
                </m:r>
                <m:r>
                  <w:rPr>
                    <w:rFonts w:ascii="Cambria Math" w:hAnsi="Cambria Math" w:cs="Arial"/>
                    <w:sz w:val="20"/>
                    <w:szCs w:val="20"/>
                    <w:lang w:val="en-CA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Cs/>
                        <w:sz w:val="20"/>
                        <w:szCs w:val="20"/>
                        <w:lang w:val="en-C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CA"/>
                      </w:rPr>
                      <m:t>ABS(critical maximum capability-energized maximum capability)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CA"/>
                      </w:rPr>
                      <m:t>critical maximum capability</m:t>
                    </m:r>
                  </m:den>
                </m:f>
              </m:oMath>
            </m:oMathPara>
          </w:p>
          <w:p w14:paraId="0C85186C" w14:textId="77777777" w:rsidR="00023145" w:rsidRPr="00023145" w:rsidRDefault="00023145" w:rsidP="00023145">
            <w:pPr>
              <w:tabs>
                <w:tab w:val="left" w:pos="540"/>
              </w:tabs>
              <w:spacing w:before="240"/>
              <w:ind w:left="540" w:hanging="1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>where:</w:t>
            </w:r>
          </w:p>
          <w:p w14:paraId="6906A62C" w14:textId="77777777" w:rsidR="00023145" w:rsidRPr="00023145" w:rsidRDefault="00023145" w:rsidP="00023145">
            <w:pPr>
              <w:numPr>
                <w:ilvl w:val="0"/>
                <w:numId w:val="34"/>
              </w:numPr>
              <w:tabs>
                <w:tab w:val="left" w:pos="540"/>
                <w:tab w:val="left" w:pos="720"/>
              </w:tabs>
              <w:spacing w:before="240"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lastRenderedPageBreak/>
              <w:t xml:space="preserve">critical maximum capability is </w:t>
            </w:r>
          </w:p>
          <w:p w14:paraId="3F21D601" w14:textId="77777777" w:rsidR="00023145" w:rsidRPr="00023145" w:rsidRDefault="00023145" w:rsidP="00023145">
            <w:pPr>
              <w:numPr>
                <w:ilvl w:val="1"/>
                <w:numId w:val="34"/>
              </w:numPr>
              <w:tabs>
                <w:tab w:val="left" w:pos="540"/>
                <w:tab w:val="left" w:pos="720"/>
              </w:tabs>
              <w:spacing w:before="240"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maximum capability 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of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aggregated generating facility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at the time the Rate STS system access service agreement is effective; or</w:t>
            </w:r>
          </w:p>
          <w:p w14:paraId="101BAD0C" w14:textId="77777777" w:rsidR="00023145" w:rsidRPr="00023145" w:rsidRDefault="00023145" w:rsidP="00023145">
            <w:pPr>
              <w:numPr>
                <w:ilvl w:val="1"/>
                <w:numId w:val="34"/>
              </w:numPr>
              <w:tabs>
                <w:tab w:val="left" w:pos="540"/>
                <w:tab w:val="left" w:pos="720"/>
              </w:tabs>
              <w:spacing w:before="240"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energized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maximum capability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as defined in subsection 3(2)(b), if there is no change in Rate STS at the point of supply;</w:t>
            </w:r>
          </w:p>
          <w:p w14:paraId="10CA602E" w14:textId="77777777" w:rsidR="00023145" w:rsidRPr="00023145" w:rsidRDefault="00023145" w:rsidP="00023145">
            <w:pPr>
              <w:tabs>
                <w:tab w:val="left" w:pos="720"/>
              </w:tabs>
              <w:spacing w:before="2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ab/>
              <w:t>and</w:t>
            </w:r>
          </w:p>
          <w:p w14:paraId="3ED88EBE" w14:textId="77777777" w:rsidR="00023145" w:rsidRPr="00023145" w:rsidRDefault="00023145" w:rsidP="00023145">
            <w:pPr>
              <w:numPr>
                <w:ilvl w:val="0"/>
                <w:numId w:val="34"/>
              </w:numPr>
              <w:tabs>
                <w:tab w:val="left" w:pos="540"/>
                <w:tab w:val="left" w:pos="720"/>
              </w:tabs>
              <w:spacing w:before="240"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energized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maximum capability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is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maximum capability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of the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generating unit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or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aggregated generating facility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 xml:space="preserve"> following energization and </w:t>
            </w:r>
            <w:r w:rsidRPr="0002314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commissioning</w:t>
            </w:r>
            <w:r w:rsidRPr="00023145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  <w:p w14:paraId="042DFECC" w14:textId="6FFD46AE" w:rsidR="0033122C" w:rsidRPr="0063560C" w:rsidRDefault="0033122C" w:rsidP="00023145">
            <w:pPr>
              <w:tabs>
                <w:tab w:val="left" w:pos="540"/>
                <w:tab w:val="left" w:pos="720"/>
              </w:tabs>
              <w:spacing w:before="240"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338" w:type="dxa"/>
            <w:shd w:val="clear" w:color="auto" w:fill="auto"/>
          </w:tcPr>
          <w:p w14:paraId="7394843D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60C" w:rsidRPr="00752820" w14:paraId="424F2B98" w14:textId="77777777" w:rsidTr="00483751">
        <w:trPr>
          <w:trHeight w:val="422"/>
        </w:trPr>
        <w:tc>
          <w:tcPr>
            <w:tcW w:w="6450" w:type="dxa"/>
          </w:tcPr>
          <w:p w14:paraId="5420A91D" w14:textId="03A0C98C" w:rsidR="0063560C" w:rsidRDefault="0063560C" w:rsidP="00B76D3A">
            <w:pPr>
              <w:pStyle w:val="FactSheetBody"/>
              <w:keepNext/>
              <w:tabs>
                <w:tab w:val="left" w:pos="540"/>
              </w:tabs>
              <w:spacing w:before="120" w:after="0" w:line="240" w:lineRule="auto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>Preliminary Refund Assessment</w:t>
            </w:r>
          </w:p>
        </w:tc>
        <w:tc>
          <w:tcPr>
            <w:tcW w:w="7338" w:type="dxa"/>
            <w:shd w:val="clear" w:color="auto" w:fill="auto"/>
          </w:tcPr>
          <w:p w14:paraId="0404AC35" w14:textId="77777777" w:rsidR="0063560C" w:rsidRPr="00752820" w:rsidRDefault="0063560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22C" w:rsidRPr="00752820" w14:paraId="3331BA1E" w14:textId="77777777" w:rsidTr="00483751">
        <w:trPr>
          <w:trHeight w:val="1296"/>
        </w:trPr>
        <w:tc>
          <w:tcPr>
            <w:tcW w:w="6450" w:type="dxa"/>
          </w:tcPr>
          <w:p w14:paraId="7F8BCD7C" w14:textId="77777777" w:rsidR="00B76D3A" w:rsidRPr="008B14B2" w:rsidRDefault="00B76D3A" w:rsidP="00B76D3A">
            <w:pPr>
              <w:pStyle w:val="FactSheetBody"/>
              <w:keepNext/>
              <w:tabs>
                <w:tab w:val="left" w:pos="540"/>
              </w:tabs>
              <w:spacing w:before="120" w:after="0" w:line="240" w:lineRule="auto"/>
              <w:rPr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>4</w:t>
            </w:r>
            <w:r w:rsidRPr="008B14B2">
              <w:rPr>
                <w:szCs w:val="20"/>
                <w:lang w:val="en-CA"/>
              </w:rPr>
              <w:tab/>
              <w:t xml:space="preserve">The </w:t>
            </w:r>
            <w:r w:rsidRPr="008B14B2">
              <w:rPr>
                <w:b/>
                <w:szCs w:val="20"/>
                <w:lang w:val="en-CA"/>
              </w:rPr>
              <w:t>ISO</w:t>
            </w:r>
            <w:r w:rsidRPr="008B14B2">
              <w:rPr>
                <w:szCs w:val="20"/>
                <w:lang w:val="en-CA"/>
              </w:rPr>
              <w:t xml:space="preserve"> must provide a preliminary </w:t>
            </w:r>
            <w:r>
              <w:rPr>
                <w:szCs w:val="20"/>
                <w:lang w:val="en-CA"/>
              </w:rPr>
              <w:t xml:space="preserve">refund </w:t>
            </w:r>
            <w:r w:rsidRPr="008B14B2">
              <w:rPr>
                <w:szCs w:val="20"/>
                <w:lang w:val="en-CA"/>
              </w:rPr>
              <w:t xml:space="preserve">assessment, along with </w:t>
            </w:r>
            <w:r>
              <w:rPr>
                <w:szCs w:val="20"/>
                <w:lang w:val="en-CA"/>
              </w:rPr>
              <w:t xml:space="preserve">relevant </w:t>
            </w:r>
            <w:r w:rsidRPr="008B14B2">
              <w:rPr>
                <w:szCs w:val="20"/>
                <w:lang w:val="en-CA"/>
              </w:rPr>
              <w:t>input data, to the</w:t>
            </w:r>
            <w:r w:rsidRPr="002D6288">
              <w:rPr>
                <w:b/>
                <w:szCs w:val="20"/>
                <w:lang w:val="en-CA"/>
              </w:rPr>
              <w:t xml:space="preserve"> legal </w:t>
            </w:r>
            <w:r w:rsidRPr="008B14B2">
              <w:rPr>
                <w:b/>
                <w:szCs w:val="20"/>
                <w:lang w:val="en-CA"/>
              </w:rPr>
              <w:t>owner</w:t>
            </w:r>
            <w:r w:rsidRPr="008B14B2">
              <w:rPr>
                <w:szCs w:val="20"/>
                <w:lang w:val="en-CA"/>
              </w:rPr>
              <w:t xml:space="preserve"> of a </w:t>
            </w:r>
            <w:r w:rsidRPr="002D6288">
              <w:rPr>
                <w:b/>
                <w:szCs w:val="20"/>
                <w:lang w:val="en-CA"/>
              </w:rPr>
              <w:t>generating unit</w:t>
            </w:r>
            <w:r w:rsidRPr="00D74453">
              <w:rPr>
                <w:szCs w:val="20"/>
                <w:lang w:val="en-CA"/>
              </w:rPr>
              <w:t xml:space="preserve"> or an </w:t>
            </w:r>
            <w:r w:rsidRPr="002D6288">
              <w:rPr>
                <w:b/>
                <w:szCs w:val="20"/>
                <w:lang w:val="en-CA"/>
              </w:rPr>
              <w:t>aggregated generating facility</w:t>
            </w:r>
            <w:r w:rsidRPr="008B14B2">
              <w:rPr>
                <w:szCs w:val="20"/>
                <w:lang w:val="en-CA"/>
              </w:rPr>
              <w:t xml:space="preserve"> by January 31 of the year following the calendar year to which the refund relates. </w:t>
            </w:r>
          </w:p>
          <w:p w14:paraId="768C71A8" w14:textId="33FBDD50" w:rsidR="0033122C" w:rsidRPr="00752820" w:rsidRDefault="0033122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</w:tcPr>
          <w:p w14:paraId="04F12C00" w14:textId="77777777" w:rsidR="0033122C" w:rsidRPr="00752820" w:rsidRDefault="0033122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48F93" w14:textId="77777777" w:rsidR="009728BC" w:rsidRDefault="009728BC" w:rsidP="00F81E4B">
      <w:pPr>
        <w:rPr>
          <w:rFonts w:ascii="Arial" w:hAnsi="Arial" w:cs="Arial"/>
          <w:sz w:val="20"/>
          <w:szCs w:val="20"/>
        </w:rPr>
      </w:pPr>
    </w:p>
    <w:sectPr w:rsidR="009728BC" w:rsidSect="0036279F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8A62" w14:textId="77777777" w:rsidR="009728BC" w:rsidRDefault="009728BC" w:rsidP="00477A36">
      <w:r>
        <w:separator/>
      </w:r>
    </w:p>
    <w:p w14:paraId="64AFA632" w14:textId="77777777" w:rsidR="009728BC" w:rsidRDefault="009728BC"/>
  </w:endnote>
  <w:endnote w:type="continuationSeparator" w:id="0">
    <w:p w14:paraId="0C62A141" w14:textId="77777777" w:rsidR="009728BC" w:rsidRDefault="009728BC" w:rsidP="00477A36">
      <w:r>
        <w:continuationSeparator/>
      </w:r>
    </w:p>
    <w:p w14:paraId="3ED0EE9D" w14:textId="77777777" w:rsidR="009728BC" w:rsidRDefault="0097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483751" w14:paraId="621EB687" w14:textId="77777777" w:rsidTr="009D7114">
      <w:trPr>
        <w:trHeight w:val="360"/>
      </w:trPr>
      <w:sdt>
        <w:sdtPr>
          <w:rPr>
            <w:rStyle w:val="FooterChar"/>
            <w:rFonts w:asciiTheme="majorHAnsi" w:hAnsiTheme="majorHAnsi" w:cstheme="majorHAnsi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6615FB9" w14:textId="77777777" w:rsidR="00896EC8" w:rsidRPr="00483751" w:rsidRDefault="00E526F6" w:rsidP="0092151C">
              <w:pPr>
                <w:pStyle w:val="Footer"/>
                <w:jc w:val="left"/>
                <w:rPr>
                  <w:rStyle w:val="FooterChar"/>
                  <w:rFonts w:asciiTheme="majorHAnsi" w:hAnsiTheme="majorHAnsi" w:cstheme="majorHAnsi"/>
                  <w:sz w:val="16"/>
                  <w:szCs w:val="16"/>
                </w:rPr>
              </w:pPr>
              <w:r w:rsidRPr="00483751">
                <w:rPr>
                  <w:rStyle w:val="PlaceholderText"/>
                  <w:rFonts w:asciiTheme="majorHAnsi" w:eastAsia="Calibri" w:hAnsiTheme="majorHAnsi" w:cstheme="majorHAns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40A21B84" w14:textId="77777777" w:rsidR="00896EC8" w:rsidRPr="00483751" w:rsidRDefault="00896EC8" w:rsidP="0092151C">
          <w:pPr>
            <w:pStyle w:val="Footer"/>
            <w:jc w:val="center"/>
            <w:rPr>
              <w:rFonts w:asciiTheme="majorHAnsi" w:hAnsiTheme="majorHAnsi" w:cstheme="majorHAnsi"/>
              <w:noProof/>
              <w:sz w:val="16"/>
              <w:szCs w:val="16"/>
            </w:rPr>
          </w:pPr>
          <w:r w:rsidRPr="00483751">
            <w:rPr>
              <w:rStyle w:val="FooterChar"/>
              <w:rFonts w:asciiTheme="majorHAnsi" w:hAnsiTheme="majorHAnsi" w:cstheme="majorHAnsi"/>
              <w:sz w:val="16"/>
              <w:szCs w:val="16"/>
            </w:rPr>
            <w:t xml:space="preserve">Page </w:t>
          </w:r>
          <w:r w:rsidRPr="00483751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begin"/>
          </w:r>
          <w:r w:rsidRPr="00483751">
            <w:rPr>
              <w:rStyle w:val="FooterChar"/>
              <w:rFonts w:asciiTheme="majorHAnsi" w:hAnsiTheme="majorHAnsi" w:cstheme="majorHAnsi"/>
              <w:sz w:val="16"/>
              <w:szCs w:val="16"/>
            </w:rPr>
            <w:instrText xml:space="preserve"> PAGE   \* MERGEFORMAT </w:instrText>
          </w:r>
          <w:r w:rsidRPr="00483751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="009728BC" w:rsidRPr="00483751">
            <w:rPr>
              <w:rStyle w:val="FooterChar"/>
              <w:rFonts w:asciiTheme="majorHAnsi" w:hAnsiTheme="majorHAnsi" w:cstheme="majorHAnsi"/>
              <w:noProof/>
              <w:sz w:val="16"/>
              <w:szCs w:val="16"/>
            </w:rPr>
            <w:t>3</w:t>
          </w:r>
          <w:r w:rsidRPr="00483751">
            <w:rPr>
              <w:rStyle w:val="FooterChar"/>
              <w:rFonts w:asciiTheme="majorHAnsi" w:hAnsiTheme="majorHAnsi" w:cstheme="majorHAnsi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6067E0E" w14:textId="77777777" w:rsidR="00896EC8" w:rsidRPr="00483751" w:rsidRDefault="00F94E9C" w:rsidP="0092151C">
          <w:pPr>
            <w:pStyle w:val="Footer"/>
            <w:jc w:val="right"/>
            <w:rPr>
              <w:rFonts w:asciiTheme="majorHAnsi" w:hAnsiTheme="majorHAnsi" w:cstheme="maj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 w:rsidRPr="00483751">
                <w:rPr>
                  <w:rFonts w:asciiTheme="majorHAnsi" w:hAnsiTheme="majorHAnsi" w:cstheme="maj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4F4D31E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483751" w14:paraId="7F22C00E" w14:textId="77777777" w:rsidTr="0015618E">
      <w:trPr>
        <w:trHeight w:val="187"/>
      </w:trPr>
      <w:sdt>
        <w:sdtPr>
          <w:rPr>
            <w:rStyle w:val="FooterChar"/>
            <w:rFonts w:asciiTheme="minorHAnsi" w:hAnsiTheme="minorHAnsi" w:cstheme="minorHAnsi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5F749FCE" w14:textId="77777777" w:rsidR="00292FAC" w:rsidRPr="00483751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rFonts w:asciiTheme="minorHAnsi" w:hAnsiTheme="minorHAnsi" w:cstheme="minorHAnsi"/>
                  <w:sz w:val="16"/>
                  <w:szCs w:val="16"/>
                </w:rPr>
              </w:pPr>
              <w:r w:rsidRPr="00483751">
                <w:rPr>
                  <w:rStyle w:val="FooterChar"/>
                  <w:rFonts w:asciiTheme="minorHAnsi" w:hAnsiTheme="minorHAnsi" w:cstheme="minorHAnsi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18238F4F" w14:textId="77777777" w:rsidR="00292FAC" w:rsidRPr="00483751" w:rsidRDefault="00292FAC" w:rsidP="00F825B6">
          <w:pPr>
            <w:pStyle w:val="Footer"/>
            <w:spacing w:before="240"/>
            <w:jc w:val="center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483751">
            <w:rPr>
              <w:rStyle w:val="FooterChar"/>
              <w:rFonts w:asciiTheme="minorHAnsi" w:hAnsiTheme="minorHAnsi" w:cstheme="minorHAnsi"/>
              <w:sz w:val="16"/>
              <w:szCs w:val="16"/>
            </w:rPr>
            <w:t xml:space="preserve">Page </w:t>
          </w:r>
          <w:r w:rsidRPr="00483751">
            <w:rPr>
              <w:rStyle w:val="FooterChar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483751">
            <w:rPr>
              <w:rStyle w:val="FooterChar"/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483751">
            <w:rPr>
              <w:rStyle w:val="FooterChar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9728BC" w:rsidRPr="00483751">
            <w:rPr>
              <w:rStyle w:val="FooterChar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483751">
            <w:rPr>
              <w:rStyle w:val="FooterChar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3D8BA3" w14:textId="77777777" w:rsidR="00292FAC" w:rsidRPr="00483751" w:rsidRDefault="00F94E9C" w:rsidP="00F825B6">
          <w:pPr>
            <w:pStyle w:val="Footer"/>
            <w:spacing w:before="240"/>
            <w:jc w:val="right"/>
            <w:rPr>
              <w:rFonts w:asciiTheme="minorHAnsi" w:hAnsiTheme="minorHAnsi" w:cstheme="minorHAnsi"/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 w:rsidRPr="00483751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2EE31A" w14:textId="77777777" w:rsidR="00B9664B" w:rsidRPr="0074440B" w:rsidRDefault="00B12EC1" w:rsidP="00B12EC1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0880033" wp14:editId="5C7C83D6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3B48" w14:textId="77777777" w:rsidR="009728BC" w:rsidRDefault="009728BC" w:rsidP="00477A36">
      <w:r>
        <w:separator/>
      </w:r>
    </w:p>
    <w:p w14:paraId="34D34499" w14:textId="77777777" w:rsidR="009728BC" w:rsidRDefault="009728BC"/>
  </w:footnote>
  <w:footnote w:type="continuationSeparator" w:id="0">
    <w:p w14:paraId="75EE6D93" w14:textId="77777777" w:rsidR="009728BC" w:rsidRDefault="009728BC" w:rsidP="00477A36">
      <w:r>
        <w:continuationSeparator/>
      </w:r>
    </w:p>
    <w:p w14:paraId="56EEA2B4" w14:textId="77777777" w:rsidR="009728BC" w:rsidRDefault="0097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D410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6FE7347A" wp14:editId="13D519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439CA273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F0CF9BD" w14:textId="57B8FE1E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63872" behindDoc="1" locked="0" layoutInCell="1" allowOverlap="1" wp14:anchorId="713A0388" wp14:editId="59A66BF2">
                <wp:simplePos x="0" y="0"/>
                <wp:positionH relativeFrom="page">
                  <wp:posOffset>-761365</wp:posOffset>
                </wp:positionH>
                <wp:positionV relativeFrom="page">
                  <wp:posOffset>53975</wp:posOffset>
                </wp:positionV>
                <wp:extent cx="10058400" cy="12553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3580">
            <w:rPr>
              <w:b/>
              <w:color w:val="1F497D" w:themeColor="text2"/>
              <w:sz w:val="36"/>
            </w:rPr>
            <w:br/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October </w:t>
          </w:r>
          <w:r w:rsidR="0039393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26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, 2020</w:t>
          </w:r>
        </w:p>
        <w:p w14:paraId="0FD5B762" w14:textId="77777777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4E8D769" w14:textId="7425B4D1" w:rsidR="005830EC" w:rsidRPr="0036279F" w:rsidRDefault="009728BC" w:rsidP="009728BC">
          <w:pPr>
            <w:pStyle w:val="Title"/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Draft </w:t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Amended Section 505.2 of the ISO Rules, </w:t>
          </w:r>
          <w:r w:rsidR="005125FB" w:rsidRPr="005125FB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 xml:space="preserve">Performance Criteria for Refund of Generating Unit Owner’s Contribution </w:t>
          </w:r>
          <w:r w:rsidR="005125F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(“Section 505.2”)</w:t>
          </w:r>
          <w:r w:rsidR="0039393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– Option </w:t>
          </w:r>
          <w:r w:rsidR="00041435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2</w:t>
          </w:r>
          <w:r w:rsidR="00DE0192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Draft Rule Language</w:t>
          </w:r>
        </w:p>
      </w:tc>
    </w:tr>
    <w:tr w:rsidR="005830EC" w:rsidRPr="00E43580" w14:paraId="012D4FF3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B10DE4E" w14:textId="77777777" w:rsidR="005830EC" w:rsidRPr="00E43580" w:rsidRDefault="005830EC" w:rsidP="00B931F5">
          <w:pPr>
            <w:rPr>
              <w:b/>
              <w:sz w:val="18"/>
              <w:szCs w:val="16"/>
            </w:rPr>
          </w:pPr>
        </w:p>
      </w:tc>
    </w:tr>
  </w:tbl>
  <w:p w14:paraId="4260C943" w14:textId="77777777" w:rsidR="00B9664B" w:rsidRPr="00E43580" w:rsidRDefault="00073930" w:rsidP="005830EC">
    <w:pPr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D4D52"/>
    <w:multiLevelType w:val="hybridMultilevel"/>
    <w:tmpl w:val="B0728B8C"/>
    <w:lvl w:ilvl="0" w:tplc="56764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93C0DD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ED0836"/>
    <w:multiLevelType w:val="hybridMultilevel"/>
    <w:tmpl w:val="C6F2EB2A"/>
    <w:lvl w:ilvl="0" w:tplc="45A0884C">
      <w:start w:val="1"/>
      <w:numFmt w:val="lowerLetter"/>
      <w:lvlText w:val="(%1)"/>
      <w:lvlJc w:val="left"/>
      <w:pPr>
        <w:ind w:left="72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0C7F5C"/>
    <w:multiLevelType w:val="hybridMultilevel"/>
    <w:tmpl w:val="6AAA8E40"/>
    <w:lvl w:ilvl="0" w:tplc="1BC6B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6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33335A"/>
    <w:multiLevelType w:val="hybridMultilevel"/>
    <w:tmpl w:val="3D1478B0"/>
    <w:lvl w:ilvl="0" w:tplc="F08AA6B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8"/>
  </w:num>
  <w:num w:numId="3">
    <w:abstractNumId w:val="18"/>
  </w:num>
  <w:num w:numId="4">
    <w:abstractNumId w:val="1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12"/>
  </w:num>
  <w:num w:numId="10">
    <w:abstractNumId w:val="16"/>
  </w:num>
  <w:num w:numId="11">
    <w:abstractNumId w:val="23"/>
  </w:num>
  <w:num w:numId="12">
    <w:abstractNumId w:val="11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2"/>
  </w:num>
  <w:num w:numId="31">
    <w:abstractNumId w:val="13"/>
  </w:num>
  <w:num w:numId="32">
    <w:abstractNumId w:val="14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C"/>
    <w:rsid w:val="00003D5B"/>
    <w:rsid w:val="0000797B"/>
    <w:rsid w:val="000112B8"/>
    <w:rsid w:val="000132BF"/>
    <w:rsid w:val="00023145"/>
    <w:rsid w:val="00025139"/>
    <w:rsid w:val="000274DE"/>
    <w:rsid w:val="00041435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21B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122C"/>
    <w:rsid w:val="00336E7E"/>
    <w:rsid w:val="00343A18"/>
    <w:rsid w:val="00344256"/>
    <w:rsid w:val="00353702"/>
    <w:rsid w:val="00360938"/>
    <w:rsid w:val="0036279F"/>
    <w:rsid w:val="003729F9"/>
    <w:rsid w:val="00375CF0"/>
    <w:rsid w:val="003764D0"/>
    <w:rsid w:val="0038560E"/>
    <w:rsid w:val="0038561D"/>
    <w:rsid w:val="0039393A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5798F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3751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125FB"/>
    <w:rsid w:val="0052749C"/>
    <w:rsid w:val="00543F4E"/>
    <w:rsid w:val="0055411C"/>
    <w:rsid w:val="005615A0"/>
    <w:rsid w:val="00562156"/>
    <w:rsid w:val="00562DB9"/>
    <w:rsid w:val="00570091"/>
    <w:rsid w:val="005708D0"/>
    <w:rsid w:val="0057407C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605798"/>
    <w:rsid w:val="00605DC6"/>
    <w:rsid w:val="0061550C"/>
    <w:rsid w:val="00626C50"/>
    <w:rsid w:val="0063098F"/>
    <w:rsid w:val="0063560C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C5251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C48FD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87316"/>
    <w:rsid w:val="00891F3C"/>
    <w:rsid w:val="00893130"/>
    <w:rsid w:val="00896EC8"/>
    <w:rsid w:val="00897417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468B"/>
    <w:rsid w:val="00936DA9"/>
    <w:rsid w:val="009433C1"/>
    <w:rsid w:val="009449C3"/>
    <w:rsid w:val="0094553B"/>
    <w:rsid w:val="0094684C"/>
    <w:rsid w:val="00950FE0"/>
    <w:rsid w:val="0095436E"/>
    <w:rsid w:val="00963A55"/>
    <w:rsid w:val="009719EB"/>
    <w:rsid w:val="009728BC"/>
    <w:rsid w:val="00975336"/>
    <w:rsid w:val="00975811"/>
    <w:rsid w:val="00983B4D"/>
    <w:rsid w:val="0099178D"/>
    <w:rsid w:val="009B7EC6"/>
    <w:rsid w:val="009C3D22"/>
    <w:rsid w:val="009C5275"/>
    <w:rsid w:val="009D7114"/>
    <w:rsid w:val="009E3FF3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35AA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23940"/>
    <w:rsid w:val="00B30D5B"/>
    <w:rsid w:val="00B31B55"/>
    <w:rsid w:val="00B33490"/>
    <w:rsid w:val="00B44713"/>
    <w:rsid w:val="00B50261"/>
    <w:rsid w:val="00B5331E"/>
    <w:rsid w:val="00B71D15"/>
    <w:rsid w:val="00B76D3A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0192"/>
    <w:rsid w:val="00DE5955"/>
    <w:rsid w:val="00E03542"/>
    <w:rsid w:val="00E05D68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EF7240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1E4B"/>
    <w:rsid w:val="00F825B6"/>
    <w:rsid w:val="00F93F04"/>
    <w:rsid w:val="00F94E9C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15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53B"/>
    <w:rPr>
      <w:sz w:val="16"/>
      <w:szCs w:val="16"/>
    </w:rPr>
  </w:style>
  <w:style w:type="paragraph" w:customStyle="1" w:styleId="FactSheetBody">
    <w:name w:val="Fact Sheet Body"/>
    <w:basedOn w:val="LetterBody"/>
    <w:qFormat/>
    <w:rsid w:val="0033122C"/>
    <w:pPr>
      <w:spacing w:before="60" w:after="200" w:line="250" w:lineRule="exact"/>
      <w:ind w:left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47f0cfcffb756eecbc45d26cb98ab155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0c633832fb3229ed427de2c90acb8a1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CWRMItemRecordCategory xmlns="650fffc6-a86a-4844-afad-966e4497fd3d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CWRMItemRecordState xmlns="650fffc6-a86a-4844-afad-966e4497fd3d" xsi:nil="true"/>
    <CWRMItemUniqueId xmlns="650fffc6-a86a-4844-afad-966e4497fd3d">000000FCVY</CWRMItemUniqueId>
    <LARA_x0020_Status xmlns="bfc2574c-8110-4e43-9784-1ee86de75c6c">Active</LARA_x0020_Status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000000FCVY</_dlc_DocId>
    <TaxCatchAll xmlns="bfc2574c-8110-4e43-9784-1ee86de75c6c">
      <Value>1322</Value>
      <Value>1271</Value>
      <Value>1529</Value>
      <Value>1348</Value>
      <Value>1683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https://share.aeso.ca/sites/records-law/LARA/_layouts/15/DocIdRedir.aspx?ID=000000FCVY</Url>
      <Description>000000FCVY</Description>
    </_dlc_DocIdUrl>
  </documentManagement>
</p:properties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370C0EB9-6DAB-4DA3-8DDB-10B41BAC3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A4E04-BA65-4E3E-A13A-32E109515634}"/>
</file>

<file path=customXml/itemProps4.xml><?xml version="1.0" encoding="utf-8"?>
<ds:datastoreItem xmlns:ds="http://schemas.openxmlformats.org/officeDocument/2006/customXml" ds:itemID="{7121841B-929D-4E88-BC90-2546E36B8647}"/>
</file>

<file path=customXml/itemProps5.xml><?xml version="1.0" encoding="utf-8"?>
<ds:datastoreItem xmlns:ds="http://schemas.openxmlformats.org/officeDocument/2006/customXml" ds:itemID="{4EFB2829-2667-4060-8BE7-EC893D022FFC}"/>
</file>

<file path=customXml/itemProps6.xml><?xml version="1.0" encoding="utf-8"?>
<ds:datastoreItem xmlns:ds="http://schemas.openxmlformats.org/officeDocument/2006/customXml" ds:itemID="{CADC291C-DC3D-42AA-B3D6-00AAE99593AD}"/>
</file>

<file path=customXml/itemProps7.xml><?xml version="1.0" encoding="utf-8"?>
<ds:datastoreItem xmlns:ds="http://schemas.openxmlformats.org/officeDocument/2006/customXml" ds:itemID="{B4CB8401-715F-4783-B910-71F357B81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2020-10-26T23:05:00Z</dcterms:created>
  <dcterms:modified xsi:type="dcterms:W3CDTF">2020-10-26T23:05:00Z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/>
  </property>
  <property fmtid="{D5CDD505-2E9C-101B-9397-08002B2CF9AE}" pid="3" name="ContentTypeId">
    <vt:lpwstr>0x010100BC84ACA119491D43B8AEA0C41A758E3B0B0200397878E89679484694B50D60D7FD0D94</vt:lpwstr>
  </property>
  <property fmtid="{D5CDD505-2E9C-101B-9397-08002B2CF9AE}" pid="4" name="Confidentiality Classification">
    <vt:lpwstr>1271;#AESO Internal|fe2129cc-e616-4c1e-9a39-b6921e014562</vt:lpwstr>
  </property>
  <property fmtid="{D5CDD505-2E9C-101B-9397-08002B2CF9AE}" pid="5" name="Related IDs">
    <vt:lpwstr/>
  </property>
  <property fmtid="{D5CDD505-2E9C-101B-9397-08002B2CF9AE}" pid="6" name="_dlc_DocIdItemGuid">
    <vt:lpwstr>53a8aa00-dae4-46d5-b2cc-42120432fd18</vt:lpwstr>
  </property>
  <property fmtid="{D5CDD505-2E9C-101B-9397-08002B2CF9AE}" pid="7" name="CWRMItemRecordClassification">
    <vt:lpwstr>1322;#REG-01 - Rules Development|d8c07a69-2ac5-4b34-96d7-e1add9f5d27b</vt:lpwstr>
  </property>
  <property fmtid="{D5CDD505-2E9C-101B-9397-08002B2CF9AE}" pid="8" name="Division">
    <vt:lpwstr>1683;#Tariff|9208e089-19e1-4475-a490-6755264ae35d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Business Unit(s)">
    <vt:lpwstr>1529;#Markets|15f241a2-070b-4f95-b89e-6f4a51567de7</vt:lpwstr>
  </property>
  <property fmtid="{D5CDD505-2E9C-101B-9397-08002B2CF9AE}" pid="11" name="_docset_NoMedatataSyncRequired">
    <vt:lpwstr>False</vt:lpwstr>
  </property>
</Properties>
</file>