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652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05"/>
      </w:tblGrid>
      <w:tr w:rsidR="008609DA" w:rsidRPr="00BC502D" w14:paraId="4BC7AD9D" w14:textId="77777777" w:rsidTr="00FE6EE5">
        <w:trPr>
          <w:trHeight w:val="1367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9"/>
              <w:gridCol w:w="2496"/>
              <w:gridCol w:w="877"/>
              <w:gridCol w:w="2999"/>
            </w:tblGrid>
            <w:tr w:rsidR="008609DA" w:rsidRPr="0061591A" w14:paraId="4BC7AD8B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7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8" w14:textId="0AF8E1E4" w:rsidR="008609DA" w:rsidRPr="0061591A" w:rsidRDefault="00B772C8" w:rsidP="00EF770B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March 25, 2021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9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A" w14:textId="2D16E137" w:rsidR="008609DA" w:rsidRPr="0061591A" w:rsidRDefault="00B772C8" w:rsidP="008962FA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April 15, 2021</w:t>
                  </w:r>
                </w:p>
              </w:tc>
            </w:tr>
            <w:tr w:rsidR="008609DA" w:rsidRPr="0061591A" w14:paraId="4BC7AD8E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C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D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609DA" w:rsidRPr="0061591A" w14:paraId="4BC7AD91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F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0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4BC7AD92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14:paraId="4BC7AD95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3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4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4BC7AD98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6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4BC7AD9B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9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A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BC7AD9C" w14:textId="5F134860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C7AD9E" w14:textId="77777777" w:rsidR="00312309" w:rsidRPr="00EE78F1" w:rsidRDefault="00312309" w:rsidP="006A4167">
      <w:pPr>
        <w:keepNext/>
        <w:spacing w:before="240" w:after="120" w:line="250" w:lineRule="exact"/>
        <w:ind w:left="-540"/>
        <w:rPr>
          <w:rFonts w:ascii="Arial" w:hAnsi="Arial" w:cs="Arial"/>
          <w:sz w:val="20"/>
          <w:szCs w:val="20"/>
        </w:rPr>
      </w:pPr>
      <w:r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4BC7AD9F" w14:textId="77777777" w:rsidR="00312309" w:rsidRPr="00B40C21" w:rsidRDefault="00312309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4BC7ADA0" w14:textId="508A7E65" w:rsidR="00903B20" w:rsidRDefault="00312309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respond to the questions below and </w:t>
      </w:r>
      <w:r>
        <w:rPr>
          <w:rFonts w:ascii="Arial" w:hAnsi="Arial" w:cs="Arial"/>
          <w:sz w:val="20"/>
          <w:szCs w:val="20"/>
        </w:rPr>
        <w:t>provide your specific comments</w:t>
      </w:r>
      <w:r w:rsidRPr="00B40C21">
        <w:rPr>
          <w:rFonts w:ascii="Arial" w:hAnsi="Arial" w:cs="Arial"/>
          <w:sz w:val="20"/>
          <w:szCs w:val="20"/>
        </w:rPr>
        <w:t>.</w:t>
      </w:r>
    </w:p>
    <w:p w14:paraId="6C1FBE7B" w14:textId="41E2775A" w:rsidR="00354D5A" w:rsidRPr="00354D5A" w:rsidRDefault="00354D5A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b/>
          <w:bCs/>
          <w:sz w:val="20"/>
          <w:szCs w:val="20"/>
        </w:rPr>
      </w:pPr>
      <w:r w:rsidRPr="00354D5A">
        <w:rPr>
          <w:rFonts w:ascii="Arial" w:hAnsi="Arial" w:cs="Arial"/>
          <w:b/>
          <w:bCs/>
          <w:sz w:val="20"/>
          <w:szCs w:val="20"/>
        </w:rPr>
        <w:t>Please submit one completed evaluation per organization.</w:t>
      </w:r>
    </w:p>
    <w:p w14:paraId="4BC7ADA1" w14:textId="36A566A8" w:rsidR="00312309" w:rsidRPr="00312309" w:rsidRDefault="00903B20" w:rsidP="00F54258">
      <w:pPr>
        <w:pStyle w:val="ListParagraph"/>
        <w:keepNext/>
        <w:numPr>
          <w:ilvl w:val="0"/>
          <w:numId w:val="18"/>
        </w:numPr>
        <w:spacing w:before="120" w:after="240" w:line="250" w:lineRule="exac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your completed comment matrix to </w:t>
      </w:r>
      <w:hyperlink r:id="rId14" w:history="1">
        <w:r w:rsidRPr="00E87F46">
          <w:rPr>
            <w:rStyle w:val="Hyperlink"/>
            <w:rFonts w:ascii="Arial" w:hAnsi="Arial" w:cs="Arial"/>
            <w:sz w:val="20"/>
            <w:szCs w:val="20"/>
          </w:rPr>
          <w:t>tariffdesign@aeso.ca</w:t>
        </w:r>
      </w:hyperlink>
      <w:r>
        <w:rPr>
          <w:rFonts w:ascii="Arial" w:hAnsi="Arial" w:cs="Arial"/>
          <w:sz w:val="20"/>
          <w:szCs w:val="20"/>
        </w:rPr>
        <w:t xml:space="preserve"> by </w:t>
      </w:r>
      <w:r w:rsidR="00B772C8">
        <w:rPr>
          <w:rFonts w:ascii="Arial" w:hAnsi="Arial" w:cs="Arial"/>
          <w:b/>
          <w:sz w:val="20"/>
          <w:szCs w:val="20"/>
        </w:rPr>
        <w:t>April 15, 2021</w:t>
      </w:r>
      <w:r>
        <w:rPr>
          <w:rFonts w:ascii="Arial" w:hAnsi="Arial" w:cs="Arial"/>
          <w:sz w:val="20"/>
          <w:szCs w:val="20"/>
        </w:rPr>
        <w:t>.</w:t>
      </w:r>
      <w:r w:rsidR="00312309" w:rsidRPr="00B40C21">
        <w:rPr>
          <w:rFonts w:ascii="Arial" w:hAnsi="Arial" w:cs="Arial"/>
          <w:sz w:val="20"/>
          <w:szCs w:val="20"/>
        </w:rPr>
        <w:t xml:space="preserve"> </w:t>
      </w:r>
    </w:p>
    <w:p w14:paraId="4BC7ADA2" w14:textId="1D0043EB" w:rsidR="008609DA" w:rsidRPr="00155294" w:rsidRDefault="00BB0607" w:rsidP="006A4167">
      <w:pPr>
        <w:keepNext/>
        <w:spacing w:before="360" w:after="240"/>
        <w:ind w:left="-634"/>
        <w:rPr>
          <w:rFonts w:ascii="Arial" w:hAnsi="Arial" w:cs="Arial"/>
          <w:b/>
          <w:i/>
          <w:sz w:val="20"/>
          <w:szCs w:val="20"/>
        </w:rPr>
      </w:pPr>
      <w:r w:rsidRPr="00BB0607">
        <w:rPr>
          <w:rFonts w:ascii="Arial" w:hAnsi="Arial" w:cs="Arial"/>
          <w:b/>
          <w:i/>
          <w:sz w:val="20"/>
          <w:szCs w:val="20"/>
        </w:rPr>
        <w:t xml:space="preserve">The AESO is seeking comments from Stakeholders </w:t>
      </w:r>
      <w:r w:rsidR="00F54258" w:rsidRPr="00155294">
        <w:rPr>
          <w:rFonts w:ascii="Arial" w:hAnsi="Arial" w:cs="Arial"/>
          <w:b/>
          <w:i/>
          <w:sz w:val="20"/>
          <w:szCs w:val="20"/>
        </w:rPr>
        <w:t>on Session</w:t>
      </w:r>
      <w:r w:rsidR="00B772C8">
        <w:rPr>
          <w:rFonts w:ascii="Arial" w:hAnsi="Arial" w:cs="Arial"/>
          <w:b/>
          <w:i/>
          <w:sz w:val="20"/>
          <w:szCs w:val="20"/>
        </w:rPr>
        <w:t xml:space="preserve"> 5</w:t>
      </w:r>
      <w:r w:rsidR="00F54258" w:rsidRPr="00155294">
        <w:rPr>
          <w:rFonts w:ascii="Arial" w:hAnsi="Arial" w:cs="Arial"/>
          <w:b/>
          <w:i/>
          <w:sz w:val="20"/>
          <w:szCs w:val="20"/>
        </w:rPr>
        <w:t>. Please be as specific as possible with your responses. Thank you.</w:t>
      </w:r>
      <w:r w:rsidR="002D2C87">
        <w:rPr>
          <w:rFonts w:ascii="Arial" w:hAnsi="Arial" w:cs="Arial"/>
          <w:b/>
          <w:i/>
          <w:sz w:val="20"/>
          <w:szCs w:val="20"/>
        </w:rPr>
        <w:t xml:space="preserve"> 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6570"/>
        <w:gridCol w:w="7650"/>
      </w:tblGrid>
      <w:tr w:rsidR="00B37FC9" w:rsidRPr="00155294" w14:paraId="4BC7ADA6" w14:textId="77777777" w:rsidTr="00FE6EE5">
        <w:tc>
          <w:tcPr>
            <w:tcW w:w="360" w:type="dxa"/>
            <w:shd w:val="clear" w:color="auto" w:fill="365F91"/>
          </w:tcPr>
          <w:p w14:paraId="4BC7ADA3" w14:textId="77777777" w:rsidR="00B37FC9" w:rsidRPr="00155294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3" w:name="_Hlk51789993"/>
          </w:p>
        </w:tc>
        <w:tc>
          <w:tcPr>
            <w:tcW w:w="6570" w:type="dxa"/>
            <w:shd w:val="clear" w:color="auto" w:fill="365F91"/>
          </w:tcPr>
          <w:p w14:paraId="4BC7ADA4" w14:textId="77777777" w:rsidR="00B37FC9" w:rsidRPr="00155294" w:rsidRDefault="00D17875" w:rsidP="00903B20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55294">
              <w:rPr>
                <w:rFonts w:ascii="Arial" w:hAnsi="Arial" w:cs="Arial"/>
                <w:b/>
                <w:color w:val="FFFFFF"/>
                <w:sz w:val="20"/>
                <w:szCs w:val="20"/>
              </w:rPr>
              <w:t>Qu</w:t>
            </w:r>
            <w:r w:rsidR="00903B20" w:rsidRPr="00155294">
              <w:rPr>
                <w:rFonts w:ascii="Arial" w:hAnsi="Arial" w:cs="Arial"/>
                <w:b/>
                <w:color w:val="FFFFFF"/>
                <w:sz w:val="20"/>
                <w:szCs w:val="20"/>
              </w:rPr>
              <w:t>estions</w:t>
            </w:r>
          </w:p>
        </w:tc>
        <w:tc>
          <w:tcPr>
            <w:tcW w:w="7650" w:type="dxa"/>
            <w:shd w:val="clear" w:color="auto" w:fill="365F91"/>
          </w:tcPr>
          <w:p w14:paraId="4BC7ADA5" w14:textId="77777777" w:rsidR="00B37FC9" w:rsidRPr="00155294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55294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bookmarkEnd w:id="3"/>
      <w:tr w:rsidR="00B37FC9" w:rsidRPr="00155294" w14:paraId="4BC7ADAA" w14:textId="77777777" w:rsidTr="00FE6EE5">
        <w:trPr>
          <w:trHeight w:val="864"/>
        </w:trPr>
        <w:tc>
          <w:tcPr>
            <w:tcW w:w="360" w:type="dxa"/>
          </w:tcPr>
          <w:p w14:paraId="4BC7ADA7" w14:textId="77777777" w:rsidR="00B37FC9" w:rsidRPr="00155294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4BC7ADA8" w14:textId="2B35D56E" w:rsidR="009A5C77" w:rsidRPr="00144095" w:rsidRDefault="008721C6" w:rsidP="006A4167">
            <w:pPr>
              <w:keepNext/>
              <w:spacing w:before="120" w:after="24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 w:rsidRPr="00155294">
              <w:rPr>
                <w:rFonts w:ascii="Arial" w:hAnsi="Arial" w:cs="Arial"/>
                <w:sz w:val="20"/>
                <w:szCs w:val="20"/>
              </w:rPr>
              <w:t xml:space="preserve">Please comment on </w:t>
            </w:r>
            <w:r w:rsidR="005F0AFC" w:rsidRPr="00155294">
              <w:rPr>
                <w:rFonts w:ascii="Arial" w:hAnsi="Arial" w:cs="Arial"/>
                <w:sz w:val="20"/>
                <w:szCs w:val="20"/>
              </w:rPr>
              <w:t xml:space="preserve">Session </w:t>
            </w:r>
            <w:r w:rsidR="00B772C8">
              <w:rPr>
                <w:rFonts w:ascii="Arial" w:hAnsi="Arial" w:cs="Arial"/>
                <w:sz w:val="20"/>
                <w:szCs w:val="20"/>
              </w:rPr>
              <w:t>5</w:t>
            </w:r>
            <w:r w:rsidR="00BA74BE" w:rsidRPr="001552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6EE5" w:rsidRPr="00155294">
              <w:rPr>
                <w:rFonts w:ascii="Arial" w:hAnsi="Arial" w:cs="Arial"/>
                <w:sz w:val="20"/>
                <w:szCs w:val="20"/>
              </w:rPr>
              <w:t xml:space="preserve">hosted </w:t>
            </w:r>
            <w:r w:rsidR="005F0AFC" w:rsidRPr="00155294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B772C8">
              <w:rPr>
                <w:rFonts w:ascii="Arial" w:hAnsi="Arial" w:cs="Arial"/>
                <w:sz w:val="20"/>
                <w:szCs w:val="20"/>
              </w:rPr>
              <w:t>March 25, 2021</w:t>
            </w:r>
            <w:r w:rsidR="00144095">
              <w:rPr>
                <w:rFonts w:ascii="Arial" w:hAnsi="Arial" w:cs="Arial"/>
                <w:sz w:val="20"/>
                <w:szCs w:val="20"/>
              </w:rPr>
              <w:t xml:space="preserve">. Was the session valuable? </w:t>
            </w:r>
            <w:r w:rsidR="005F0AFC" w:rsidRPr="00144095">
              <w:rPr>
                <w:rFonts w:ascii="Arial" w:hAnsi="Arial" w:cs="Arial"/>
                <w:sz w:val="20"/>
                <w:szCs w:val="20"/>
              </w:rPr>
              <w:t xml:space="preserve">Was there something </w:t>
            </w:r>
            <w:r w:rsidR="00FE6EE5" w:rsidRPr="00144095">
              <w:rPr>
                <w:rFonts w:ascii="Arial" w:hAnsi="Arial" w:cs="Arial"/>
                <w:sz w:val="20"/>
                <w:szCs w:val="20"/>
              </w:rPr>
              <w:t>the AESO</w:t>
            </w:r>
            <w:r w:rsidR="005F0AFC" w:rsidRPr="00144095">
              <w:rPr>
                <w:rFonts w:ascii="Arial" w:hAnsi="Arial" w:cs="Arial"/>
                <w:sz w:val="20"/>
                <w:szCs w:val="20"/>
              </w:rPr>
              <w:t xml:space="preserve"> could have done to make the session more helpful? </w:t>
            </w:r>
          </w:p>
        </w:tc>
        <w:tc>
          <w:tcPr>
            <w:tcW w:w="7650" w:type="dxa"/>
            <w:shd w:val="clear" w:color="auto" w:fill="auto"/>
          </w:tcPr>
          <w:p w14:paraId="4BC7ADA9" w14:textId="77777777" w:rsidR="00B37FC9" w:rsidRPr="00155294" w:rsidRDefault="00B37FC9" w:rsidP="00076D6B">
            <w:pPr>
              <w:keepNext/>
              <w:spacing w:before="120" w:after="120"/>
              <w:ind w:left="158" w:right="1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D6B" w:rsidRPr="00155294" w14:paraId="141F846C" w14:textId="77777777" w:rsidTr="00FC2049">
        <w:trPr>
          <w:trHeight w:val="864"/>
        </w:trPr>
        <w:tc>
          <w:tcPr>
            <w:tcW w:w="360" w:type="dxa"/>
          </w:tcPr>
          <w:p w14:paraId="3B6D0B46" w14:textId="77777777" w:rsidR="00076D6B" w:rsidRPr="00155294" w:rsidRDefault="00076D6B" w:rsidP="00FC2049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2807A23B" w14:textId="100A84E6" w:rsidR="00076D6B" w:rsidRPr="00076D6B" w:rsidRDefault="00076D6B" w:rsidP="006A4167">
            <w:pPr>
              <w:keepNext/>
              <w:spacing w:before="120" w:after="24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55294">
              <w:rPr>
                <w:rFonts w:ascii="Arial" w:hAnsi="Arial" w:cs="Arial"/>
                <w:sz w:val="20"/>
                <w:szCs w:val="20"/>
              </w:rPr>
              <w:t xml:space="preserve">lease comment on </w:t>
            </w:r>
            <w:r>
              <w:rPr>
                <w:rFonts w:ascii="Arial" w:hAnsi="Arial" w:cs="Arial"/>
                <w:sz w:val="20"/>
                <w:szCs w:val="20"/>
              </w:rPr>
              <w:t xml:space="preserve">Technical Information </w:t>
            </w:r>
            <w:r w:rsidRPr="00155294">
              <w:rPr>
                <w:rFonts w:ascii="Arial" w:hAnsi="Arial" w:cs="Arial"/>
                <w:sz w:val="20"/>
                <w:szCs w:val="20"/>
              </w:rPr>
              <w:t xml:space="preserve">Session 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155294">
              <w:rPr>
                <w:rFonts w:ascii="Arial" w:hAnsi="Arial" w:cs="Arial"/>
                <w:sz w:val="20"/>
                <w:szCs w:val="20"/>
              </w:rPr>
              <w:t xml:space="preserve"> hosted on </w:t>
            </w:r>
            <w:r>
              <w:rPr>
                <w:rFonts w:ascii="Arial" w:hAnsi="Arial" w:cs="Arial"/>
                <w:sz w:val="20"/>
                <w:szCs w:val="20"/>
              </w:rPr>
              <w:t>March 31, 2021 (if you attended)</w:t>
            </w:r>
            <w:r w:rsidR="0014409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456BC">
              <w:rPr>
                <w:rFonts w:ascii="Arial" w:hAnsi="Arial" w:cs="Arial"/>
                <w:sz w:val="20"/>
                <w:szCs w:val="20"/>
              </w:rPr>
              <w:t xml:space="preserve">Was the session valuable? Was there something the AESO could have done to make the session more helpful? </w:t>
            </w:r>
          </w:p>
        </w:tc>
        <w:tc>
          <w:tcPr>
            <w:tcW w:w="7650" w:type="dxa"/>
            <w:shd w:val="clear" w:color="auto" w:fill="auto"/>
          </w:tcPr>
          <w:p w14:paraId="47E76BCD" w14:textId="77777777" w:rsidR="00076D6B" w:rsidRPr="00155294" w:rsidRDefault="00076D6B" w:rsidP="00FC2049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167" w:rsidRPr="00155294" w14:paraId="32C0065A" w14:textId="77777777" w:rsidTr="008F1CFD">
        <w:trPr>
          <w:trHeight w:val="864"/>
        </w:trPr>
        <w:tc>
          <w:tcPr>
            <w:tcW w:w="360" w:type="dxa"/>
          </w:tcPr>
          <w:p w14:paraId="169FFB31" w14:textId="77777777" w:rsidR="006A4167" w:rsidRPr="00155294" w:rsidRDefault="006A4167" w:rsidP="008F1CFD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12744FB6" w14:textId="77777777" w:rsidR="006A4167" w:rsidRPr="00571BD4" w:rsidRDefault="006A4167" w:rsidP="006A4167">
            <w:pPr>
              <w:keepNext/>
              <w:spacing w:before="120" w:after="24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 w:rsidRPr="00571BD4">
              <w:rPr>
                <w:rFonts w:ascii="Arial" w:hAnsi="Arial" w:cs="Arial"/>
                <w:sz w:val="20"/>
                <w:szCs w:val="20"/>
              </w:rPr>
              <w:t xml:space="preserve">Are you supportive of the AESO’s preferred rate design? Why or why not? </w:t>
            </w:r>
          </w:p>
        </w:tc>
        <w:tc>
          <w:tcPr>
            <w:tcW w:w="7650" w:type="dxa"/>
            <w:shd w:val="clear" w:color="auto" w:fill="auto"/>
          </w:tcPr>
          <w:p w14:paraId="1322A27B" w14:textId="77777777" w:rsidR="006A4167" w:rsidRPr="00155294" w:rsidRDefault="006A4167" w:rsidP="008F1CFD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C7ADBC" w14:textId="56B816B1" w:rsidR="00CB5BA6" w:rsidRPr="006B717A" w:rsidRDefault="00CB5BA6" w:rsidP="00297F48">
      <w:pPr>
        <w:ind w:left="-630"/>
        <w:rPr>
          <w:rFonts w:ascii="Arial" w:hAnsi="Arial" w:cs="Arial"/>
          <w:sz w:val="20"/>
          <w:szCs w:val="20"/>
        </w:rPr>
      </w:pPr>
    </w:p>
    <w:p w14:paraId="012A111B" w14:textId="45DEE7F0" w:rsidR="006C7D45" w:rsidRPr="006B717A" w:rsidRDefault="006C7D45">
      <w:pPr>
        <w:rPr>
          <w:rFonts w:ascii="Arial" w:hAnsi="Arial" w:cs="Arial"/>
          <w:sz w:val="20"/>
          <w:szCs w:val="20"/>
        </w:rPr>
      </w:pPr>
      <w:r w:rsidRPr="006B717A">
        <w:rPr>
          <w:rFonts w:ascii="Arial" w:hAnsi="Arial" w:cs="Arial"/>
          <w:sz w:val="20"/>
          <w:szCs w:val="20"/>
        </w:rPr>
        <w:br w:type="page"/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6570"/>
        <w:gridCol w:w="7650"/>
      </w:tblGrid>
      <w:tr w:rsidR="006C7D45" w:rsidRPr="006B717A" w14:paraId="1EF0D6CC" w14:textId="77777777" w:rsidTr="004607E4">
        <w:tc>
          <w:tcPr>
            <w:tcW w:w="360" w:type="dxa"/>
            <w:shd w:val="clear" w:color="auto" w:fill="365F91"/>
          </w:tcPr>
          <w:p w14:paraId="3D546F74" w14:textId="77777777" w:rsidR="006C7D45" w:rsidRPr="006B717A" w:rsidRDefault="006C7D45" w:rsidP="00FC2049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365F91"/>
          </w:tcPr>
          <w:p w14:paraId="6B4491D3" w14:textId="77777777" w:rsidR="006C7D45" w:rsidRPr="006B717A" w:rsidRDefault="006C7D45" w:rsidP="00FC2049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B717A"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Questions</w:t>
            </w:r>
          </w:p>
        </w:tc>
        <w:tc>
          <w:tcPr>
            <w:tcW w:w="7650" w:type="dxa"/>
            <w:shd w:val="clear" w:color="auto" w:fill="365F91"/>
          </w:tcPr>
          <w:p w14:paraId="409B3FF1" w14:textId="77777777" w:rsidR="006C7D45" w:rsidRPr="006B717A" w:rsidRDefault="006C7D45" w:rsidP="00FC2049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B717A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tr w:rsidR="008456BC" w:rsidRPr="006C7D45" w:rsidDel="007D7FA8" w14:paraId="7209CD8F" w14:textId="77777777" w:rsidTr="00FC204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B8553" w14:textId="77777777" w:rsidR="008456BC" w:rsidRPr="006C7D45" w:rsidDel="007D7FA8" w:rsidRDefault="008456BC" w:rsidP="008456BC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F251" w14:textId="593FBAE1" w:rsidR="008456BC" w:rsidRPr="00571BD4" w:rsidRDefault="008456BC" w:rsidP="009A5C77">
            <w:pPr>
              <w:keepNext/>
              <w:spacing w:before="120" w:after="200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71BD4">
              <w:rPr>
                <w:rFonts w:ascii="Arial" w:hAnsi="Arial" w:cs="Arial"/>
                <w:sz w:val="20"/>
                <w:szCs w:val="20"/>
              </w:rPr>
              <w:t>Do you believe the AESO’s preferred rate design meets the AESO’s rate design objectives? Why or why not?</w:t>
            </w:r>
          </w:p>
          <w:p w14:paraId="086BC4A1" w14:textId="69887CE1" w:rsidR="008456BC" w:rsidRPr="00571BD4" w:rsidRDefault="008456BC" w:rsidP="00301C82">
            <w:pPr>
              <w:pStyle w:val="ListParagraph"/>
              <w:keepNext/>
              <w:numPr>
                <w:ilvl w:val="0"/>
                <w:numId w:val="30"/>
              </w:num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571BD4">
              <w:rPr>
                <w:rFonts w:ascii="Arial" w:hAnsi="Arial" w:cs="Arial"/>
                <w:bCs/>
                <w:sz w:val="20"/>
                <w:szCs w:val="20"/>
                <w:u w:val="single"/>
              </w:rPr>
              <w:t>Reflect Cost Responsibility</w:t>
            </w:r>
            <w:r w:rsidRPr="00571BD4">
              <w:rPr>
                <w:rFonts w:ascii="Arial" w:hAnsi="Arial" w:cs="Arial"/>
                <w:bCs/>
                <w:sz w:val="20"/>
                <w:szCs w:val="20"/>
              </w:rPr>
              <w:t xml:space="preserve"> (Cost recovery is based on </w:t>
            </w:r>
            <w:r w:rsidR="004C6F9F" w:rsidRPr="00571BD4">
              <w:rPr>
                <w:rFonts w:ascii="Arial" w:hAnsi="Arial" w:cs="Arial"/>
                <w:bCs/>
                <w:sz w:val="20"/>
                <w:szCs w:val="20"/>
              </w:rPr>
              <w:t xml:space="preserve">cost causation, reflecting how transmission customers use the </w:t>
            </w:r>
            <w:r w:rsidRPr="00571BD4">
              <w:rPr>
                <w:rFonts w:ascii="Arial" w:hAnsi="Arial" w:cs="Arial"/>
                <w:bCs/>
                <w:sz w:val="20"/>
                <w:szCs w:val="20"/>
              </w:rPr>
              <w:t>existing grid</w:t>
            </w:r>
            <w:r w:rsidR="004C6F9F" w:rsidRPr="00571BD4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571BD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50E71493" w14:textId="403C6721" w:rsidR="008456BC" w:rsidRPr="00571BD4" w:rsidRDefault="008456BC" w:rsidP="00301C82">
            <w:pPr>
              <w:pStyle w:val="ListParagraph"/>
              <w:keepNext/>
              <w:numPr>
                <w:ilvl w:val="0"/>
                <w:numId w:val="30"/>
              </w:num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571BD4">
              <w:rPr>
                <w:rFonts w:ascii="Arial" w:hAnsi="Arial" w:cs="Arial"/>
                <w:bCs/>
                <w:sz w:val="20"/>
                <w:szCs w:val="20"/>
                <w:u w:val="single"/>
              </w:rPr>
              <w:t>Efficient Price Signals</w:t>
            </w:r>
            <w:r w:rsidRPr="00571BD4">
              <w:rPr>
                <w:rFonts w:ascii="Arial" w:hAnsi="Arial" w:cs="Arial"/>
                <w:bCs/>
                <w:sz w:val="20"/>
                <w:szCs w:val="20"/>
              </w:rPr>
              <w:t xml:space="preserve"> (Price signal to alter behavior to avoid future transmission build)</w:t>
            </w:r>
          </w:p>
          <w:p w14:paraId="00F48188" w14:textId="51059637" w:rsidR="008456BC" w:rsidRPr="00571BD4" w:rsidRDefault="008456BC" w:rsidP="00301C82">
            <w:pPr>
              <w:pStyle w:val="ListParagraph"/>
              <w:keepNext/>
              <w:numPr>
                <w:ilvl w:val="0"/>
                <w:numId w:val="30"/>
              </w:num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571BD4">
              <w:rPr>
                <w:rFonts w:ascii="Arial" w:hAnsi="Arial" w:cs="Arial"/>
                <w:bCs/>
                <w:sz w:val="20"/>
                <w:szCs w:val="20"/>
                <w:u w:val="single"/>
              </w:rPr>
              <w:t>Minimal Disruption</w:t>
            </w:r>
            <w:r w:rsidRPr="00571BD4">
              <w:rPr>
                <w:rFonts w:ascii="Arial" w:hAnsi="Arial" w:cs="Arial"/>
                <w:bCs/>
                <w:sz w:val="20"/>
                <w:szCs w:val="20"/>
              </w:rPr>
              <w:t xml:space="preserve"> (Customers that have responded to the 12-CP price signal and invested to reduce transmission costs are minimally disrupted)</w:t>
            </w:r>
          </w:p>
          <w:p w14:paraId="40884B15" w14:textId="7908859B" w:rsidR="008456BC" w:rsidRPr="00571BD4" w:rsidRDefault="00CB1E37" w:rsidP="00301C82">
            <w:pPr>
              <w:pStyle w:val="ListParagraph"/>
              <w:keepNext/>
              <w:numPr>
                <w:ilvl w:val="0"/>
                <w:numId w:val="30"/>
              </w:num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571BD4">
              <w:rPr>
                <w:rFonts w:ascii="Arial" w:hAnsi="Arial" w:cs="Arial"/>
                <w:bCs/>
                <w:sz w:val="20"/>
                <w:szCs w:val="20"/>
                <w:u w:val="single"/>
              </w:rPr>
              <w:t>Simplicity</w:t>
            </w:r>
            <w:r w:rsidR="008456BC" w:rsidRPr="00571BD4">
              <w:rPr>
                <w:rFonts w:ascii="Arial" w:hAnsi="Arial" w:cs="Arial"/>
                <w:bCs/>
                <w:sz w:val="20"/>
                <w:szCs w:val="20"/>
              </w:rPr>
              <w:t xml:space="preserve"> (Simplicity and clear price signals while achieving design objectives)</w:t>
            </w:r>
          </w:p>
          <w:p w14:paraId="785412D8" w14:textId="77777777" w:rsidR="008456BC" w:rsidRPr="00571BD4" w:rsidRDefault="008456BC" w:rsidP="008456BC">
            <w:pPr>
              <w:pStyle w:val="ListParagraph"/>
              <w:keepNext/>
              <w:numPr>
                <w:ilvl w:val="0"/>
                <w:numId w:val="30"/>
              </w:numPr>
              <w:spacing w:before="120" w:after="200"/>
              <w:rPr>
                <w:rFonts w:ascii="Arial" w:hAnsi="Arial" w:cs="Arial"/>
                <w:bCs/>
                <w:sz w:val="20"/>
                <w:szCs w:val="20"/>
              </w:rPr>
            </w:pPr>
            <w:r w:rsidRPr="00571BD4">
              <w:rPr>
                <w:rFonts w:ascii="Arial" w:hAnsi="Arial" w:cs="Arial"/>
                <w:bCs/>
                <w:sz w:val="20"/>
                <w:szCs w:val="20"/>
                <w:u w:val="single"/>
              </w:rPr>
              <w:t>Innovation and Flexibility</w:t>
            </w:r>
            <w:r w:rsidRPr="00571BD4">
              <w:rPr>
                <w:rFonts w:ascii="Arial" w:hAnsi="Arial" w:cs="Arial"/>
                <w:bCs/>
                <w:sz w:val="20"/>
                <w:szCs w:val="20"/>
              </w:rPr>
              <w:t xml:space="preserve"> (ISO tariff provides optionality for transmission customers to innovate while not pushing costs to other customers)</w:t>
            </w:r>
          </w:p>
          <w:p w14:paraId="5723490D" w14:textId="77777777" w:rsidR="00995B13" w:rsidRPr="00571BD4" w:rsidRDefault="00995B13" w:rsidP="00995B13">
            <w:pPr>
              <w:keepNext/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571BD4">
              <w:rPr>
                <w:rFonts w:ascii="Arial" w:hAnsi="Arial" w:cs="Arial"/>
                <w:bCs/>
                <w:sz w:val="18"/>
                <w:szCs w:val="18"/>
              </w:rPr>
              <w:t>*AUC Decision 22942-D02-2019</w:t>
            </w:r>
          </w:p>
          <w:p w14:paraId="54E6AA93" w14:textId="4BC61A31" w:rsidR="00DD5B98" w:rsidRPr="00571BD4" w:rsidRDefault="004C6F9F" w:rsidP="006A4167">
            <w:pPr>
              <w:keepNext/>
              <w:spacing w:before="120"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571BD4"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="00DD5B98" w:rsidRPr="00571BD4">
              <w:rPr>
                <w:rFonts w:ascii="Arial" w:hAnsi="Arial" w:cs="Arial"/>
                <w:bCs/>
                <w:sz w:val="18"/>
                <w:szCs w:val="18"/>
              </w:rPr>
              <w:t>*Proposed rate design must fit within current legislation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B90C" w14:textId="44D9CF57" w:rsidR="008456BC" w:rsidRPr="001830D7" w:rsidDel="007D7FA8" w:rsidRDefault="008456BC" w:rsidP="001830D7">
            <w:pPr>
              <w:keepNext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456BC" w:rsidRPr="006C7D45" w:rsidDel="007D7FA8" w14:paraId="431B8B0C" w14:textId="77777777" w:rsidTr="00FC204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DCBC" w14:textId="77777777" w:rsidR="008456BC" w:rsidRPr="006C7D45" w:rsidDel="007D7FA8" w:rsidRDefault="008456BC" w:rsidP="008456BC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406D1" w14:textId="2BBDA93E" w:rsidR="009A5C77" w:rsidRPr="00571BD4" w:rsidDel="007D7FA8" w:rsidRDefault="008456BC" w:rsidP="006A4167">
            <w:pPr>
              <w:keepNext/>
              <w:spacing w:before="120" w:after="240"/>
              <w:ind w:left="115"/>
              <w:rPr>
                <w:rFonts w:ascii="Arial" w:hAnsi="Arial" w:cs="Arial"/>
                <w:bCs/>
                <w:sz w:val="20"/>
                <w:szCs w:val="20"/>
              </w:rPr>
            </w:pPr>
            <w:r w:rsidRPr="00571BD4">
              <w:rPr>
                <w:rFonts w:ascii="Arial" w:hAnsi="Arial" w:cs="Arial"/>
                <w:bCs/>
                <w:sz w:val="20"/>
                <w:szCs w:val="20"/>
              </w:rPr>
              <w:t>Are there considerations that the AESO should include</w:t>
            </w:r>
            <w:r w:rsidR="009A5C77" w:rsidRPr="00571BD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571BD4">
              <w:rPr>
                <w:rFonts w:ascii="Arial" w:hAnsi="Arial" w:cs="Arial"/>
                <w:bCs/>
                <w:sz w:val="20"/>
                <w:szCs w:val="20"/>
              </w:rPr>
              <w:t>exclude</w:t>
            </w:r>
            <w:r w:rsidR="009A5C77" w:rsidRPr="00571BD4">
              <w:rPr>
                <w:rFonts w:ascii="Arial" w:hAnsi="Arial" w:cs="Arial"/>
                <w:bCs/>
                <w:sz w:val="20"/>
                <w:szCs w:val="20"/>
              </w:rPr>
              <w:t xml:space="preserve"> and/or </w:t>
            </w:r>
            <w:r w:rsidRPr="00571BD4">
              <w:rPr>
                <w:rFonts w:ascii="Arial" w:hAnsi="Arial" w:cs="Arial"/>
                <w:bCs/>
                <w:sz w:val="20"/>
                <w:szCs w:val="20"/>
              </w:rPr>
              <w:t xml:space="preserve">modify in its preferred rate design </w:t>
            </w:r>
            <w:r w:rsidR="00995B13" w:rsidRPr="00571BD4">
              <w:rPr>
                <w:rFonts w:ascii="Arial" w:hAnsi="Arial" w:cs="Arial"/>
                <w:bCs/>
                <w:sz w:val="20"/>
                <w:szCs w:val="20"/>
              </w:rPr>
              <w:t>to better achieve</w:t>
            </w:r>
            <w:r w:rsidR="009A5C77" w:rsidRPr="00571BD4">
              <w:rPr>
                <w:rFonts w:ascii="Arial" w:hAnsi="Arial" w:cs="Arial"/>
                <w:bCs/>
                <w:sz w:val="20"/>
                <w:szCs w:val="20"/>
              </w:rPr>
              <w:t xml:space="preserve"> the AESO’s rate design objectives</w:t>
            </w:r>
            <w:r w:rsidRPr="00571BD4">
              <w:rPr>
                <w:rFonts w:ascii="Arial" w:hAnsi="Arial" w:cs="Arial"/>
                <w:bCs/>
                <w:sz w:val="20"/>
                <w:szCs w:val="20"/>
              </w:rPr>
              <w:t>? Please specify</w:t>
            </w:r>
            <w:r w:rsidR="00A63133" w:rsidRPr="00571BD4">
              <w:rPr>
                <w:rFonts w:ascii="Arial" w:hAnsi="Arial" w:cs="Arial"/>
                <w:bCs/>
                <w:sz w:val="20"/>
                <w:szCs w:val="20"/>
              </w:rPr>
              <w:t xml:space="preserve"> and include your rationale.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56C4" w14:textId="77777777" w:rsidR="008456BC" w:rsidRPr="006C7D45" w:rsidDel="007D7FA8" w:rsidRDefault="008456BC" w:rsidP="00FC2049">
            <w:pPr>
              <w:keepNext/>
              <w:spacing w:before="120" w:after="120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1C82" w:rsidRPr="00BC502D" w14:paraId="0B1E8258" w14:textId="77777777" w:rsidTr="00FC2049">
        <w:trPr>
          <w:trHeight w:val="377"/>
        </w:trPr>
        <w:tc>
          <w:tcPr>
            <w:tcW w:w="360" w:type="dxa"/>
          </w:tcPr>
          <w:p w14:paraId="1411E0D0" w14:textId="77777777" w:rsidR="00301C82" w:rsidRDefault="00301C82" w:rsidP="00FC2049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0CEA3680" w14:textId="7BC706D6" w:rsidR="006C0C83" w:rsidRPr="00571BD4" w:rsidRDefault="001830D7" w:rsidP="006A4167">
            <w:pPr>
              <w:keepNext/>
              <w:spacing w:before="120" w:after="24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 w:rsidRPr="00DA4D7D">
              <w:rPr>
                <w:rFonts w:ascii="Arial" w:hAnsi="Arial" w:cs="Arial"/>
                <w:sz w:val="20"/>
                <w:szCs w:val="20"/>
              </w:rPr>
              <w:t xml:space="preserve">Please describe any areas in which you are aligned with the AESO’s preferred rate design. </w:t>
            </w:r>
          </w:p>
        </w:tc>
        <w:tc>
          <w:tcPr>
            <w:tcW w:w="7650" w:type="dxa"/>
            <w:shd w:val="clear" w:color="auto" w:fill="auto"/>
          </w:tcPr>
          <w:p w14:paraId="10398E8D" w14:textId="77777777" w:rsidR="00301C82" w:rsidRPr="00DC7D20" w:rsidRDefault="00301C82" w:rsidP="00FC2049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38B" w:rsidRPr="00BC502D" w14:paraId="295AADD8" w14:textId="77777777" w:rsidTr="008F1CFD">
        <w:trPr>
          <w:trHeight w:val="377"/>
        </w:trPr>
        <w:tc>
          <w:tcPr>
            <w:tcW w:w="360" w:type="dxa"/>
          </w:tcPr>
          <w:p w14:paraId="1A9C4E79" w14:textId="77777777" w:rsidR="005D238B" w:rsidRDefault="005D238B" w:rsidP="008F1CFD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797B37F1" w14:textId="2AEF55D5" w:rsidR="005D238B" w:rsidRPr="006C0C83" w:rsidRDefault="005D238B" w:rsidP="006A4167">
            <w:pPr>
              <w:keepNext/>
              <w:spacing w:before="120" w:after="240"/>
              <w:ind w:left="158" w:right="158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the assumptions the AESO used for the rate impact reasonable? Is there additional information that would help improve your understanding of rate impacts? </w:t>
            </w:r>
          </w:p>
        </w:tc>
        <w:tc>
          <w:tcPr>
            <w:tcW w:w="7650" w:type="dxa"/>
            <w:shd w:val="clear" w:color="auto" w:fill="auto"/>
          </w:tcPr>
          <w:p w14:paraId="071E1D67" w14:textId="77777777" w:rsidR="005D238B" w:rsidRPr="00DC7D20" w:rsidRDefault="005D238B" w:rsidP="008F1CFD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C77" w:rsidRPr="006C7D45" w:rsidDel="007D7FA8" w14:paraId="3A287ACA" w14:textId="77777777" w:rsidTr="00FC204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78A0" w14:textId="77777777" w:rsidR="009A5C77" w:rsidRPr="006C7D45" w:rsidDel="007D7FA8" w:rsidRDefault="009A5C77" w:rsidP="00FC2049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331D" w14:textId="45BB086F" w:rsidR="005D238B" w:rsidRDefault="009A5C77" w:rsidP="00E72EC5">
            <w:pPr>
              <w:keepNext/>
              <w:spacing w:before="120" w:after="240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71BD4">
              <w:rPr>
                <w:rFonts w:ascii="Arial" w:hAnsi="Arial" w:cs="Arial"/>
                <w:sz w:val="20"/>
                <w:szCs w:val="20"/>
              </w:rPr>
              <w:t>Are you supportive of the AESO’s</w:t>
            </w:r>
            <w:r w:rsidR="00E72E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109C" w:rsidRPr="00571BD4">
              <w:rPr>
                <w:rFonts w:ascii="Arial" w:hAnsi="Arial" w:cs="Arial"/>
                <w:sz w:val="20"/>
                <w:szCs w:val="20"/>
              </w:rPr>
              <w:t>consideration of modernizing DOS, including its suitability for</w:t>
            </w:r>
            <w:r w:rsidR="009017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1E37">
              <w:rPr>
                <w:rFonts w:ascii="Arial" w:hAnsi="Arial" w:cs="Arial"/>
                <w:sz w:val="20"/>
                <w:szCs w:val="20"/>
              </w:rPr>
              <w:t>an</w:t>
            </w:r>
            <w:r w:rsidR="006A41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109C" w:rsidRPr="00571BD4">
              <w:rPr>
                <w:rFonts w:ascii="Arial" w:hAnsi="Arial" w:cs="Arial"/>
                <w:sz w:val="20"/>
                <w:szCs w:val="20"/>
              </w:rPr>
              <w:t>energy storage charging capacity?</w:t>
            </w:r>
            <w:r w:rsidRPr="00571BD4">
              <w:rPr>
                <w:rFonts w:ascii="Arial" w:hAnsi="Arial" w:cs="Arial"/>
                <w:sz w:val="20"/>
                <w:szCs w:val="20"/>
              </w:rPr>
              <w:t xml:space="preserve"> Why or why not?</w:t>
            </w:r>
            <w:r w:rsidR="0003109C" w:rsidRPr="00571B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ED667E" w14:textId="25DE9FE7" w:rsidR="009A5C77" w:rsidRPr="00571BD4" w:rsidRDefault="0003109C" w:rsidP="006A4167">
            <w:pPr>
              <w:keepNext/>
              <w:spacing w:before="120" w:after="240"/>
              <w:ind w:left="115"/>
              <w:rPr>
                <w:rFonts w:ascii="Arial" w:hAnsi="Arial" w:cs="Arial"/>
                <w:bCs/>
                <w:sz w:val="20"/>
                <w:szCs w:val="20"/>
              </w:rPr>
            </w:pPr>
            <w:r w:rsidRPr="00571BD4">
              <w:rPr>
                <w:rFonts w:ascii="Arial" w:hAnsi="Arial" w:cs="Arial"/>
                <w:sz w:val="20"/>
                <w:szCs w:val="20"/>
              </w:rPr>
              <w:t>And if so, provide your comments on the consideration of the AESO’s DOS eligibility requirements, including for energy storage.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DDD8" w14:textId="77777777" w:rsidR="009A5C77" w:rsidRPr="006C7D45" w:rsidDel="007D7FA8" w:rsidRDefault="009A5C77" w:rsidP="00FC2049">
            <w:pPr>
              <w:keepNext/>
              <w:spacing w:before="120" w:after="120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106F4" w:rsidRPr="006C7D45" w:rsidDel="007D7FA8" w14:paraId="6874D2A9" w14:textId="77777777" w:rsidTr="00FC204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CEBB2" w14:textId="77777777" w:rsidR="00B106F4" w:rsidRPr="006C7D45" w:rsidDel="007D7FA8" w:rsidRDefault="00B106F4" w:rsidP="00FC2049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B859" w14:textId="3DC87509" w:rsidR="005D238B" w:rsidRDefault="00D57BC7" w:rsidP="00E72EC5">
            <w:pPr>
              <w:keepNext/>
              <w:spacing w:before="120" w:after="240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describe </w:t>
            </w:r>
            <w:r w:rsidR="00F13DB1">
              <w:rPr>
                <w:rFonts w:ascii="Arial" w:hAnsi="Arial" w:cs="Arial"/>
                <w:sz w:val="20"/>
                <w:szCs w:val="20"/>
              </w:rPr>
              <w:t>w</w:t>
            </w:r>
            <w:r w:rsidR="00B106F4">
              <w:rPr>
                <w:rFonts w:ascii="Arial" w:hAnsi="Arial" w:cs="Arial"/>
                <w:sz w:val="20"/>
                <w:szCs w:val="20"/>
              </w:rPr>
              <w:t xml:space="preserve">hat </w:t>
            </w:r>
            <w:r w:rsidR="006708C1">
              <w:rPr>
                <w:rFonts w:ascii="Arial" w:hAnsi="Arial" w:cs="Arial"/>
                <w:sz w:val="20"/>
                <w:szCs w:val="20"/>
              </w:rPr>
              <w:t xml:space="preserve">components </w:t>
            </w:r>
            <w:r w:rsidR="00B106F4">
              <w:rPr>
                <w:rFonts w:ascii="Arial" w:hAnsi="Arial" w:cs="Arial"/>
                <w:sz w:val="20"/>
                <w:szCs w:val="20"/>
              </w:rPr>
              <w:t xml:space="preserve">of the current DOS </w:t>
            </w:r>
            <w:r w:rsidR="00F13DB1">
              <w:rPr>
                <w:rFonts w:ascii="Arial" w:hAnsi="Arial" w:cs="Arial"/>
                <w:sz w:val="20"/>
                <w:szCs w:val="20"/>
              </w:rPr>
              <w:t xml:space="preserve">implementation </w:t>
            </w:r>
            <w:r w:rsidR="001D5061">
              <w:rPr>
                <w:rFonts w:ascii="Arial" w:hAnsi="Arial" w:cs="Arial"/>
                <w:sz w:val="20"/>
                <w:szCs w:val="20"/>
              </w:rPr>
              <w:t xml:space="preserve">(i.e., rate, </w:t>
            </w:r>
            <w:r w:rsidR="00CB1E37">
              <w:rPr>
                <w:rFonts w:ascii="Arial" w:hAnsi="Arial" w:cs="Arial"/>
                <w:sz w:val="20"/>
                <w:szCs w:val="20"/>
              </w:rPr>
              <w:t>terms,</w:t>
            </w:r>
            <w:r w:rsidR="001D5061">
              <w:rPr>
                <w:rFonts w:ascii="Arial" w:hAnsi="Arial" w:cs="Arial"/>
                <w:sz w:val="20"/>
                <w:szCs w:val="20"/>
              </w:rPr>
              <w:t xml:space="preserve"> and conditions) </w:t>
            </w:r>
            <w:r w:rsidR="00B106F4">
              <w:rPr>
                <w:rFonts w:ascii="Arial" w:hAnsi="Arial" w:cs="Arial"/>
                <w:sz w:val="20"/>
                <w:szCs w:val="20"/>
              </w:rPr>
              <w:t xml:space="preserve">limit the </w:t>
            </w:r>
            <w:r w:rsidR="00F13DB1">
              <w:rPr>
                <w:rFonts w:ascii="Arial" w:hAnsi="Arial" w:cs="Arial"/>
                <w:sz w:val="20"/>
                <w:szCs w:val="20"/>
              </w:rPr>
              <w:t xml:space="preserve">use of excess </w:t>
            </w:r>
            <w:r w:rsidR="006708C1">
              <w:rPr>
                <w:rFonts w:ascii="Arial" w:hAnsi="Arial" w:cs="Arial"/>
                <w:sz w:val="20"/>
                <w:szCs w:val="20"/>
              </w:rPr>
              <w:t xml:space="preserve">transmission </w:t>
            </w:r>
            <w:r w:rsidR="00F13DB1"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="001D5061">
              <w:rPr>
                <w:rFonts w:ascii="Arial" w:hAnsi="Arial" w:cs="Arial"/>
                <w:sz w:val="20"/>
                <w:szCs w:val="20"/>
              </w:rPr>
              <w:t xml:space="preserve">(i.e., capacity </w:t>
            </w:r>
            <w:r w:rsidR="00F13DB1">
              <w:rPr>
                <w:rFonts w:ascii="Arial" w:hAnsi="Arial" w:cs="Arial"/>
                <w:sz w:val="20"/>
                <w:szCs w:val="20"/>
              </w:rPr>
              <w:t>that would not otherwise</w:t>
            </w:r>
            <w:r w:rsidR="001D5061">
              <w:rPr>
                <w:rFonts w:ascii="Arial" w:hAnsi="Arial" w:cs="Arial"/>
                <w:sz w:val="20"/>
                <w:szCs w:val="20"/>
              </w:rPr>
              <w:t xml:space="preserve"> be used under R</w:t>
            </w:r>
            <w:r w:rsidR="0046631C">
              <w:rPr>
                <w:rFonts w:ascii="Arial" w:hAnsi="Arial" w:cs="Arial"/>
                <w:sz w:val="20"/>
                <w:szCs w:val="20"/>
              </w:rPr>
              <w:t>ate</w:t>
            </w:r>
            <w:r w:rsidR="00F13DB1">
              <w:rPr>
                <w:rFonts w:ascii="Arial" w:hAnsi="Arial" w:cs="Arial"/>
                <w:sz w:val="20"/>
                <w:szCs w:val="20"/>
              </w:rPr>
              <w:t xml:space="preserve"> DTS</w:t>
            </w:r>
            <w:r w:rsidR="001D5061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13D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1AF6E2" w14:textId="3E1AC357" w:rsidR="00B106F4" w:rsidRPr="00571BD4" w:rsidRDefault="00F13DB1" w:rsidP="006A4167">
            <w:pPr>
              <w:keepNext/>
              <w:spacing w:before="120" w:after="240"/>
              <w:ind w:left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might </w:t>
            </w:r>
            <w:r w:rsidR="006708C1">
              <w:rPr>
                <w:rFonts w:ascii="Arial" w:hAnsi="Arial" w:cs="Arial"/>
                <w:sz w:val="20"/>
                <w:szCs w:val="20"/>
              </w:rPr>
              <w:t>those components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08C1">
              <w:rPr>
                <w:rFonts w:ascii="Arial" w:hAnsi="Arial" w:cs="Arial"/>
                <w:sz w:val="20"/>
                <w:szCs w:val="20"/>
              </w:rPr>
              <w:t xml:space="preserve">of DOS </w:t>
            </w:r>
            <w:r>
              <w:rPr>
                <w:rFonts w:ascii="Arial" w:hAnsi="Arial" w:cs="Arial"/>
                <w:sz w:val="20"/>
                <w:szCs w:val="20"/>
              </w:rPr>
              <w:t>be improved?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399B" w14:textId="77777777" w:rsidR="00B106F4" w:rsidRPr="006C7D45" w:rsidDel="007D7FA8" w:rsidRDefault="00B106F4" w:rsidP="00FC2049">
            <w:pPr>
              <w:keepNext/>
              <w:spacing w:before="120" w:after="120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1C82" w:rsidRPr="00BC502D" w14:paraId="73E7FE54" w14:textId="77777777" w:rsidTr="00FC2049">
        <w:trPr>
          <w:trHeight w:val="377"/>
        </w:trPr>
        <w:tc>
          <w:tcPr>
            <w:tcW w:w="360" w:type="dxa"/>
          </w:tcPr>
          <w:p w14:paraId="7FF71EC0" w14:textId="77777777" w:rsidR="00301C82" w:rsidRDefault="00301C82" w:rsidP="00FC2049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4663BA57" w14:textId="434CDA10" w:rsidR="00301C82" w:rsidRPr="00571BD4" w:rsidRDefault="00301C82" w:rsidP="006A4167">
            <w:pPr>
              <w:keepNext/>
              <w:spacing w:before="120" w:after="24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 w:rsidRPr="00571BD4">
              <w:rPr>
                <w:rFonts w:ascii="Arial" w:hAnsi="Arial" w:cs="Arial"/>
                <w:sz w:val="20"/>
                <w:szCs w:val="20"/>
              </w:rPr>
              <w:t xml:space="preserve">Do you have any comments on the AESO’s targeted </w:t>
            </w:r>
            <w:r w:rsidR="004C6F9F" w:rsidRPr="00571BD4">
              <w:rPr>
                <w:rFonts w:ascii="Arial" w:hAnsi="Arial" w:cs="Arial"/>
                <w:sz w:val="20"/>
                <w:szCs w:val="20"/>
              </w:rPr>
              <w:t xml:space="preserve">engagement </w:t>
            </w:r>
            <w:r w:rsidRPr="00571BD4">
              <w:rPr>
                <w:rFonts w:ascii="Arial" w:hAnsi="Arial" w:cs="Arial"/>
                <w:sz w:val="20"/>
                <w:szCs w:val="20"/>
              </w:rPr>
              <w:t xml:space="preserve">approach </w:t>
            </w:r>
            <w:r w:rsidR="00FC2049" w:rsidRPr="00571BD4">
              <w:rPr>
                <w:rFonts w:ascii="Arial" w:hAnsi="Arial" w:cs="Arial"/>
                <w:sz w:val="20"/>
                <w:szCs w:val="20"/>
              </w:rPr>
              <w:t>for</w:t>
            </w:r>
            <w:r w:rsidRPr="00571BD4">
              <w:rPr>
                <w:rFonts w:ascii="Arial" w:hAnsi="Arial" w:cs="Arial"/>
                <w:sz w:val="20"/>
                <w:szCs w:val="20"/>
              </w:rPr>
              <w:t xml:space="preserve"> mitigation discussions?</w:t>
            </w:r>
          </w:p>
        </w:tc>
        <w:tc>
          <w:tcPr>
            <w:tcW w:w="7650" w:type="dxa"/>
            <w:shd w:val="clear" w:color="auto" w:fill="auto"/>
          </w:tcPr>
          <w:p w14:paraId="7AF0688E" w14:textId="77777777" w:rsidR="00301C82" w:rsidRPr="00DC7D20" w:rsidRDefault="00301C82" w:rsidP="00FC2049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BC4" w:rsidRPr="00BC502D" w14:paraId="1D5148E7" w14:textId="77777777" w:rsidTr="00DA76FE">
        <w:trPr>
          <w:trHeight w:val="864"/>
        </w:trPr>
        <w:tc>
          <w:tcPr>
            <w:tcW w:w="360" w:type="dxa"/>
          </w:tcPr>
          <w:p w14:paraId="6B35B9F8" w14:textId="77777777" w:rsidR="009C3BC4" w:rsidRPr="00155294" w:rsidRDefault="009C3BC4" w:rsidP="00B772C8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195FFE4F" w14:textId="0216746A" w:rsidR="009C3BC4" w:rsidRPr="005D238B" w:rsidRDefault="009C3BC4" w:rsidP="00307480">
            <w:pPr>
              <w:keepNext/>
              <w:spacing w:before="120" w:after="24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 w:rsidRPr="005D238B">
              <w:rPr>
                <w:rFonts w:ascii="Arial" w:hAnsi="Arial" w:cs="Arial"/>
                <w:bCs/>
                <w:sz w:val="20"/>
                <w:szCs w:val="20"/>
              </w:rPr>
              <w:t>Are there further considerations that the AESO should include, exclude and/or modify in the mitigation option star</w:t>
            </w:r>
            <w:r w:rsidR="001D382E" w:rsidRPr="005D238B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5D238B">
              <w:rPr>
                <w:rFonts w:ascii="Arial" w:hAnsi="Arial" w:cs="Arial"/>
                <w:bCs/>
                <w:sz w:val="20"/>
                <w:szCs w:val="20"/>
              </w:rPr>
              <w:t>ing principles</w:t>
            </w:r>
            <w:r w:rsidR="005D238B" w:rsidRPr="005D238B">
              <w:rPr>
                <w:rFonts w:ascii="Arial" w:hAnsi="Arial" w:cs="Arial"/>
                <w:bCs/>
                <w:sz w:val="20"/>
                <w:szCs w:val="20"/>
              </w:rPr>
              <w:t>? Please specify and include your rationale.</w:t>
            </w:r>
          </w:p>
          <w:p w14:paraId="5BD3B2E2" w14:textId="79F28809" w:rsidR="009C3BC4" w:rsidRPr="005D238B" w:rsidRDefault="009C3BC4" w:rsidP="005D238B">
            <w:pPr>
              <w:pStyle w:val="ListParagraph"/>
              <w:keepNext/>
              <w:numPr>
                <w:ilvl w:val="6"/>
                <w:numId w:val="35"/>
              </w:numPr>
              <w:spacing w:before="120" w:after="60"/>
              <w:ind w:left="576" w:right="158"/>
              <w:rPr>
                <w:rFonts w:ascii="Arial" w:hAnsi="Arial" w:cs="Arial"/>
                <w:sz w:val="20"/>
                <w:szCs w:val="20"/>
              </w:rPr>
            </w:pPr>
            <w:r w:rsidRPr="005D238B">
              <w:rPr>
                <w:rFonts w:ascii="Arial" w:hAnsi="Arial" w:cs="Arial"/>
                <w:sz w:val="20"/>
                <w:szCs w:val="20"/>
                <w:u w:val="single"/>
              </w:rPr>
              <w:t>Limit the rate impact for customers</w:t>
            </w:r>
            <w:r w:rsidRPr="005D238B">
              <w:rPr>
                <w:rFonts w:ascii="Arial" w:hAnsi="Arial" w:cs="Arial"/>
                <w:sz w:val="20"/>
                <w:szCs w:val="20"/>
              </w:rPr>
              <w:t xml:space="preserve">: Mitigate rate impact to under 10 per cent increase to a party’s transmission bill for initial stage of transition </w:t>
            </w:r>
          </w:p>
          <w:p w14:paraId="20C554BE" w14:textId="6859AAB1" w:rsidR="009C3BC4" w:rsidRPr="005D238B" w:rsidRDefault="009C3BC4" w:rsidP="005D238B">
            <w:pPr>
              <w:pStyle w:val="ListParagraph"/>
              <w:keepNext/>
              <w:numPr>
                <w:ilvl w:val="6"/>
                <w:numId w:val="35"/>
              </w:numPr>
              <w:spacing w:before="120" w:after="60"/>
              <w:ind w:left="576" w:right="158"/>
              <w:rPr>
                <w:rFonts w:ascii="Arial" w:hAnsi="Arial" w:cs="Arial"/>
                <w:sz w:val="20"/>
                <w:szCs w:val="20"/>
              </w:rPr>
            </w:pPr>
            <w:r w:rsidRPr="005D238B">
              <w:rPr>
                <w:rFonts w:ascii="Arial" w:hAnsi="Arial" w:cs="Arial"/>
                <w:sz w:val="20"/>
                <w:szCs w:val="20"/>
                <w:u w:val="single"/>
              </w:rPr>
              <w:t>Adapt with design and rates</w:t>
            </w:r>
            <w:r w:rsidRPr="005D238B">
              <w:rPr>
                <w:rFonts w:ascii="Arial" w:hAnsi="Arial" w:cs="Arial"/>
                <w:sz w:val="20"/>
                <w:szCs w:val="20"/>
              </w:rPr>
              <w:t xml:space="preserve">: Ensure options are adaptable to changes to the proposed design and forecast rates </w:t>
            </w:r>
          </w:p>
          <w:p w14:paraId="30C2D44C" w14:textId="52F63805" w:rsidR="009C3BC4" w:rsidRPr="005D238B" w:rsidRDefault="009C3BC4" w:rsidP="005D238B">
            <w:pPr>
              <w:pStyle w:val="ListParagraph"/>
              <w:keepNext/>
              <w:numPr>
                <w:ilvl w:val="6"/>
                <w:numId w:val="35"/>
              </w:numPr>
              <w:spacing w:before="120" w:after="60"/>
              <w:ind w:left="576" w:right="158"/>
              <w:rPr>
                <w:rFonts w:ascii="Arial" w:hAnsi="Arial" w:cs="Arial"/>
                <w:sz w:val="20"/>
                <w:szCs w:val="20"/>
              </w:rPr>
            </w:pPr>
            <w:r w:rsidRPr="005D238B">
              <w:rPr>
                <w:rFonts w:ascii="Arial" w:hAnsi="Arial" w:cs="Arial"/>
                <w:sz w:val="20"/>
                <w:szCs w:val="20"/>
                <w:u w:val="single"/>
              </w:rPr>
              <w:t>Consistent application</w:t>
            </w:r>
            <w:r w:rsidRPr="005D238B">
              <w:rPr>
                <w:rFonts w:ascii="Arial" w:hAnsi="Arial" w:cs="Arial"/>
                <w:sz w:val="20"/>
                <w:szCs w:val="20"/>
              </w:rPr>
              <w:t xml:space="preserve">: Mitigation options can be applied consistently across all impacted loads and not be individually defined </w:t>
            </w:r>
          </w:p>
          <w:p w14:paraId="5329BBFB" w14:textId="4ACFEAFD" w:rsidR="009C3BC4" w:rsidRPr="005D238B" w:rsidRDefault="009C3BC4" w:rsidP="005D238B">
            <w:pPr>
              <w:pStyle w:val="ListParagraph"/>
              <w:keepNext/>
              <w:numPr>
                <w:ilvl w:val="6"/>
                <w:numId w:val="35"/>
              </w:numPr>
              <w:spacing w:before="120" w:after="60"/>
              <w:ind w:left="576" w:right="158"/>
              <w:rPr>
                <w:rFonts w:ascii="Arial" w:hAnsi="Arial" w:cs="Arial"/>
                <w:sz w:val="20"/>
                <w:szCs w:val="20"/>
              </w:rPr>
            </w:pPr>
            <w:r w:rsidRPr="005D238B">
              <w:rPr>
                <w:rFonts w:ascii="Arial" w:hAnsi="Arial" w:cs="Arial"/>
                <w:sz w:val="20"/>
                <w:szCs w:val="20"/>
                <w:u w:val="single"/>
              </w:rPr>
              <w:t>Administrative simplicity</w:t>
            </w:r>
            <w:r w:rsidRPr="005D238B">
              <w:rPr>
                <w:rFonts w:ascii="Arial" w:hAnsi="Arial" w:cs="Arial"/>
                <w:sz w:val="20"/>
                <w:szCs w:val="20"/>
              </w:rPr>
              <w:t xml:space="preserve">: Feasible to implement with current tools and systems </w:t>
            </w:r>
          </w:p>
          <w:p w14:paraId="072C4021" w14:textId="1E476855" w:rsidR="009C3BC4" w:rsidRPr="005D238B" w:rsidRDefault="009C3BC4" w:rsidP="005D238B">
            <w:pPr>
              <w:pStyle w:val="ListParagraph"/>
              <w:keepNext/>
              <w:numPr>
                <w:ilvl w:val="6"/>
                <w:numId w:val="35"/>
              </w:numPr>
              <w:spacing w:before="120" w:after="240"/>
              <w:ind w:left="571" w:right="158"/>
              <w:rPr>
                <w:rFonts w:ascii="Arial" w:hAnsi="Arial" w:cs="Arial"/>
                <w:sz w:val="20"/>
                <w:szCs w:val="20"/>
              </w:rPr>
            </w:pPr>
            <w:r w:rsidRPr="005D238B">
              <w:rPr>
                <w:rFonts w:ascii="Arial" w:hAnsi="Arial" w:cs="Arial"/>
                <w:sz w:val="20"/>
                <w:szCs w:val="20"/>
                <w:u w:val="single"/>
              </w:rPr>
              <w:t>Mutually acceptable</w:t>
            </w:r>
            <w:r w:rsidRPr="00565A4D">
              <w:rPr>
                <w:rFonts w:ascii="Arial" w:hAnsi="Arial" w:cs="Arial"/>
                <w:sz w:val="20"/>
                <w:szCs w:val="20"/>
              </w:rPr>
              <w:t>: Account for feedback from broad stakeholder group</w:t>
            </w:r>
          </w:p>
        </w:tc>
        <w:tc>
          <w:tcPr>
            <w:tcW w:w="7650" w:type="dxa"/>
            <w:shd w:val="clear" w:color="auto" w:fill="auto"/>
          </w:tcPr>
          <w:p w14:paraId="47A4EE28" w14:textId="77777777" w:rsidR="009C3BC4" w:rsidRPr="00DC7D20" w:rsidRDefault="009C3BC4" w:rsidP="00DA76FE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7A16" w:rsidRPr="00BC502D" w14:paraId="4E02AFC6" w14:textId="77777777" w:rsidTr="008F1CFD">
        <w:trPr>
          <w:trHeight w:val="377"/>
        </w:trPr>
        <w:tc>
          <w:tcPr>
            <w:tcW w:w="360" w:type="dxa"/>
          </w:tcPr>
          <w:p w14:paraId="5CDAF253" w14:textId="77777777" w:rsidR="00FD7A16" w:rsidRDefault="00FD7A16" w:rsidP="008F1CFD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568F350A" w14:textId="7C2AD1F0" w:rsidR="00FD7A16" w:rsidRPr="00E72EC5" w:rsidRDefault="00565A4D" w:rsidP="008F1CFD">
            <w:pPr>
              <w:keepNext/>
              <w:spacing w:before="120" w:after="24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Based on the AESO’s mitigation options assessment, are there further considerations that the AESO needs to include, exclude </w:t>
            </w:r>
            <w:r w:rsidR="00CB1E37">
              <w:rPr>
                <w:rFonts w:ascii="Arial" w:hAnsi="Arial" w:cs="Arial"/>
                <w:sz w:val="20"/>
                <w:szCs w:val="20"/>
              </w:rPr>
              <w:t>and/</w:t>
            </w:r>
            <w:r>
              <w:rPr>
                <w:rFonts w:ascii="Arial" w:hAnsi="Arial" w:cs="Arial"/>
                <w:sz w:val="20"/>
                <w:szCs w:val="20"/>
              </w:rPr>
              <w:t>or modify (e.g., temporary versus permanent)? Please specify and include your rationale.</w:t>
            </w:r>
          </w:p>
        </w:tc>
        <w:tc>
          <w:tcPr>
            <w:tcW w:w="7650" w:type="dxa"/>
            <w:shd w:val="clear" w:color="auto" w:fill="auto"/>
          </w:tcPr>
          <w:p w14:paraId="4EF2A722" w14:textId="77777777" w:rsidR="00FD7A16" w:rsidRPr="00DC7D20" w:rsidRDefault="00FD7A16" w:rsidP="008F1CFD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BC4" w:rsidRPr="00BC502D" w14:paraId="47F3AF44" w14:textId="77777777" w:rsidTr="00DA76FE">
        <w:trPr>
          <w:trHeight w:val="864"/>
        </w:trPr>
        <w:tc>
          <w:tcPr>
            <w:tcW w:w="360" w:type="dxa"/>
          </w:tcPr>
          <w:p w14:paraId="3F16BEC2" w14:textId="77777777" w:rsidR="009C3BC4" w:rsidRPr="00155294" w:rsidRDefault="009C3BC4" w:rsidP="00B772C8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6F962C2C" w14:textId="77777777" w:rsidR="006A4167" w:rsidRDefault="00B41F50" w:rsidP="006A4167">
            <w:pPr>
              <w:keepNext/>
              <w:spacing w:before="120" w:after="120"/>
              <w:ind w:left="158" w:right="158"/>
              <w:rPr>
                <w:rFonts w:ascii="Arial" w:hAnsi="Arial" w:cs="Arial"/>
                <w:bCs/>
                <w:sz w:val="20"/>
                <w:szCs w:val="20"/>
              </w:rPr>
            </w:pPr>
            <w:r w:rsidRPr="005D238B">
              <w:rPr>
                <w:rFonts w:ascii="Arial" w:hAnsi="Arial" w:cs="Arial"/>
                <w:bCs/>
                <w:sz w:val="20"/>
                <w:szCs w:val="20"/>
              </w:rPr>
              <w:t xml:space="preserve">Are you in favour of some type of mitigation? Why or why not? </w:t>
            </w:r>
          </w:p>
          <w:p w14:paraId="66A0EE58" w14:textId="02CC80F4" w:rsidR="00FD7A16" w:rsidRPr="005D238B" w:rsidRDefault="00B41F50" w:rsidP="00565A4D">
            <w:pPr>
              <w:keepNext/>
              <w:spacing w:before="120" w:after="240"/>
              <w:ind w:left="158" w:right="158"/>
              <w:rPr>
                <w:rFonts w:ascii="Arial" w:hAnsi="Arial" w:cs="Arial"/>
                <w:bCs/>
                <w:sz w:val="20"/>
                <w:szCs w:val="20"/>
              </w:rPr>
            </w:pPr>
            <w:r w:rsidRPr="005D238B">
              <w:rPr>
                <w:rFonts w:ascii="Arial" w:hAnsi="Arial" w:cs="Arial"/>
                <w:bCs/>
                <w:sz w:val="20"/>
                <w:szCs w:val="20"/>
              </w:rPr>
              <w:t xml:space="preserve">If you are in favour of some type of mitigation, how would you assess </w:t>
            </w:r>
            <w:r w:rsidR="00CB1E37" w:rsidRPr="005D238B">
              <w:rPr>
                <w:rFonts w:ascii="Arial" w:hAnsi="Arial" w:cs="Arial"/>
                <w:bCs/>
                <w:sz w:val="20"/>
                <w:szCs w:val="20"/>
              </w:rPr>
              <w:t>whether</w:t>
            </w:r>
            <w:r w:rsidRPr="005D238B">
              <w:rPr>
                <w:rFonts w:ascii="Arial" w:hAnsi="Arial" w:cs="Arial"/>
                <w:bCs/>
                <w:sz w:val="20"/>
                <w:szCs w:val="20"/>
              </w:rPr>
              <w:t xml:space="preserve"> a proposed mitigation approach is acceptable?</w:t>
            </w:r>
          </w:p>
        </w:tc>
        <w:tc>
          <w:tcPr>
            <w:tcW w:w="7650" w:type="dxa"/>
            <w:shd w:val="clear" w:color="auto" w:fill="auto"/>
          </w:tcPr>
          <w:p w14:paraId="46E485F4" w14:textId="77777777" w:rsidR="009C3BC4" w:rsidRPr="00DC7D20" w:rsidRDefault="009C3BC4" w:rsidP="00DA76FE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738" w:rsidRPr="00BC502D" w14:paraId="1709375C" w14:textId="77777777" w:rsidTr="004607E4">
        <w:trPr>
          <w:trHeight w:val="377"/>
        </w:trPr>
        <w:tc>
          <w:tcPr>
            <w:tcW w:w="360" w:type="dxa"/>
          </w:tcPr>
          <w:p w14:paraId="342831CD" w14:textId="77777777" w:rsidR="00B54738" w:rsidRDefault="00B54738" w:rsidP="006C7D45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050B5ABF" w14:textId="6DFF9C27" w:rsidR="00B54738" w:rsidRPr="00A45404" w:rsidRDefault="00B31A68" w:rsidP="005D238B">
            <w:pPr>
              <w:keepNext/>
              <w:spacing w:before="120" w:after="24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 w:rsidRPr="00E72EC5">
              <w:rPr>
                <w:rFonts w:ascii="Arial" w:hAnsi="Arial" w:cs="Arial"/>
                <w:sz w:val="20"/>
                <w:szCs w:val="20"/>
              </w:rPr>
              <w:t>In your view, should the</w:t>
            </w:r>
            <w:r w:rsidR="009C3BC4" w:rsidRPr="00E72E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4738" w:rsidRPr="00E72EC5">
              <w:rPr>
                <w:rFonts w:ascii="Arial" w:hAnsi="Arial" w:cs="Arial"/>
                <w:sz w:val="20"/>
                <w:szCs w:val="20"/>
              </w:rPr>
              <w:t xml:space="preserve">AESO provide participants with more flexibility to </w:t>
            </w:r>
            <w:r w:rsidR="00721891">
              <w:rPr>
                <w:rFonts w:ascii="Arial" w:hAnsi="Arial" w:cs="Arial"/>
                <w:sz w:val="20"/>
                <w:szCs w:val="20"/>
              </w:rPr>
              <w:t xml:space="preserve">adjust </w:t>
            </w:r>
            <w:r w:rsidR="00B54738" w:rsidRPr="00E72EC5">
              <w:rPr>
                <w:rFonts w:ascii="Arial" w:hAnsi="Arial" w:cs="Arial"/>
                <w:sz w:val="20"/>
                <w:szCs w:val="20"/>
              </w:rPr>
              <w:t xml:space="preserve">contract capacity, specifically </w:t>
            </w:r>
            <w:r w:rsidRPr="00E72EC5">
              <w:rPr>
                <w:rFonts w:ascii="Arial" w:hAnsi="Arial" w:cs="Arial"/>
                <w:sz w:val="20"/>
                <w:szCs w:val="20"/>
              </w:rPr>
              <w:t>by way of</w:t>
            </w:r>
            <w:r w:rsidR="00B54738" w:rsidRPr="00E72EC5">
              <w:rPr>
                <w:rFonts w:ascii="Arial" w:hAnsi="Arial" w:cs="Arial"/>
                <w:sz w:val="20"/>
                <w:szCs w:val="20"/>
              </w:rPr>
              <w:t xml:space="preserve"> a contract reset period with the implementation of new rates and</w:t>
            </w:r>
            <w:r w:rsidR="0093597F" w:rsidRPr="00E72EC5">
              <w:rPr>
                <w:rFonts w:ascii="Arial" w:hAnsi="Arial" w:cs="Arial"/>
                <w:sz w:val="20"/>
                <w:szCs w:val="20"/>
              </w:rPr>
              <w:t>/or</w:t>
            </w:r>
            <w:r w:rsidR="00B54738" w:rsidRPr="00E72E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891">
              <w:rPr>
                <w:rFonts w:ascii="Arial" w:hAnsi="Arial" w:cs="Arial"/>
                <w:sz w:val="20"/>
                <w:szCs w:val="20"/>
              </w:rPr>
              <w:t>a</w:t>
            </w:r>
            <w:r w:rsidR="00B54738" w:rsidRPr="00E72EC5">
              <w:rPr>
                <w:rFonts w:ascii="Arial" w:hAnsi="Arial" w:cs="Arial"/>
                <w:sz w:val="20"/>
                <w:szCs w:val="20"/>
              </w:rPr>
              <w:t xml:space="preserve"> PILON waiver </w:t>
            </w:r>
            <w:r w:rsidR="00721891">
              <w:rPr>
                <w:rFonts w:ascii="Arial" w:hAnsi="Arial" w:cs="Arial"/>
                <w:sz w:val="20"/>
                <w:szCs w:val="20"/>
              </w:rPr>
              <w:t>if</w:t>
            </w:r>
            <w:r w:rsidR="00721891" w:rsidRPr="00E72E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4738" w:rsidRPr="00E72EC5">
              <w:rPr>
                <w:rFonts w:ascii="Arial" w:hAnsi="Arial" w:cs="Arial"/>
                <w:sz w:val="20"/>
                <w:szCs w:val="20"/>
              </w:rPr>
              <w:t>the contract level has not changed in the previous five years?</w:t>
            </w:r>
          </w:p>
        </w:tc>
        <w:tc>
          <w:tcPr>
            <w:tcW w:w="7650" w:type="dxa"/>
            <w:shd w:val="clear" w:color="auto" w:fill="auto"/>
          </w:tcPr>
          <w:p w14:paraId="1FA4F9A0" w14:textId="77777777" w:rsidR="00B54738" w:rsidRPr="00DC7D20" w:rsidRDefault="00B54738" w:rsidP="00DA76FE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C77" w:rsidRPr="00BC502D" w14:paraId="3F967F0C" w14:textId="77777777" w:rsidTr="004607E4">
        <w:trPr>
          <w:trHeight w:val="377"/>
        </w:trPr>
        <w:tc>
          <w:tcPr>
            <w:tcW w:w="360" w:type="dxa"/>
          </w:tcPr>
          <w:p w14:paraId="0037258F" w14:textId="77777777" w:rsidR="009A5C77" w:rsidRDefault="009A5C77" w:rsidP="006C7D45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5EA89199" w14:textId="20F05DF8" w:rsidR="009A5C77" w:rsidRPr="009A2428" w:rsidRDefault="009A5C77" w:rsidP="005D238B">
            <w:pPr>
              <w:keepNext/>
              <w:spacing w:before="120" w:after="24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have any </w:t>
            </w:r>
            <w:r w:rsidR="00B54738">
              <w:rPr>
                <w:rFonts w:ascii="Arial" w:hAnsi="Arial" w:cs="Arial"/>
                <w:sz w:val="20"/>
                <w:szCs w:val="20"/>
              </w:rPr>
              <w:t xml:space="preserve">additional </w:t>
            </w:r>
            <w:r>
              <w:rPr>
                <w:rFonts w:ascii="Arial" w:hAnsi="Arial" w:cs="Arial"/>
                <w:sz w:val="20"/>
                <w:szCs w:val="20"/>
              </w:rPr>
              <w:t xml:space="preserve">implementation considerations the AESO should </w:t>
            </w:r>
            <w:r w:rsidR="00FC2049">
              <w:rPr>
                <w:rFonts w:ascii="Arial" w:hAnsi="Arial" w:cs="Arial"/>
                <w:sz w:val="20"/>
                <w:szCs w:val="20"/>
              </w:rPr>
              <w:t>consider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650" w:type="dxa"/>
            <w:shd w:val="clear" w:color="auto" w:fill="auto"/>
          </w:tcPr>
          <w:p w14:paraId="03E692B3" w14:textId="77777777" w:rsidR="009A5C77" w:rsidRPr="00DC7D20" w:rsidRDefault="009A5C77" w:rsidP="00FC2049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258" w:rsidRPr="00BC502D" w14:paraId="02AFDB82" w14:textId="77777777" w:rsidTr="004607E4">
        <w:trPr>
          <w:trHeight w:val="377"/>
        </w:trPr>
        <w:tc>
          <w:tcPr>
            <w:tcW w:w="360" w:type="dxa"/>
          </w:tcPr>
          <w:p w14:paraId="6269D60A" w14:textId="77777777" w:rsidR="00F54258" w:rsidRDefault="00F54258" w:rsidP="006C7D45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11451A79" w14:textId="14C8174A" w:rsidR="00F54258" w:rsidRDefault="00F54258" w:rsidP="005D238B">
            <w:pPr>
              <w:keepNext/>
              <w:spacing w:before="120" w:after="24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 w:rsidRPr="009A2428">
              <w:rPr>
                <w:rFonts w:ascii="Arial" w:hAnsi="Arial" w:cs="Arial"/>
                <w:sz w:val="20"/>
                <w:szCs w:val="20"/>
              </w:rPr>
              <w:t>Do you have additional clarifying questions that need to be answered to support your understanding?</w:t>
            </w:r>
          </w:p>
        </w:tc>
        <w:tc>
          <w:tcPr>
            <w:tcW w:w="7650" w:type="dxa"/>
            <w:shd w:val="clear" w:color="auto" w:fill="auto"/>
          </w:tcPr>
          <w:p w14:paraId="23154975" w14:textId="77777777" w:rsidR="00F54258" w:rsidRPr="00DC7D20" w:rsidRDefault="00F54258" w:rsidP="00FC2049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D45" w:rsidRPr="00BC502D" w14:paraId="238F6F62" w14:textId="77777777" w:rsidTr="004607E4">
        <w:trPr>
          <w:trHeight w:val="377"/>
        </w:trPr>
        <w:tc>
          <w:tcPr>
            <w:tcW w:w="360" w:type="dxa"/>
          </w:tcPr>
          <w:p w14:paraId="6146573A" w14:textId="77777777" w:rsidR="006C7D45" w:rsidRDefault="006C7D45" w:rsidP="006C7D45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628D36FE" w14:textId="77777777" w:rsidR="006C7D45" w:rsidRPr="00433B5B" w:rsidRDefault="006C7D45" w:rsidP="006C0C83">
            <w:pPr>
              <w:keepNext/>
              <w:spacing w:before="120" w:after="36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comments</w:t>
            </w:r>
          </w:p>
        </w:tc>
        <w:tc>
          <w:tcPr>
            <w:tcW w:w="7650" w:type="dxa"/>
            <w:shd w:val="clear" w:color="auto" w:fill="auto"/>
          </w:tcPr>
          <w:p w14:paraId="7831A4E2" w14:textId="77777777" w:rsidR="006C7D45" w:rsidRPr="00DC7D20" w:rsidRDefault="006C7D45" w:rsidP="00FC2049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74C5B2" w14:textId="77777777" w:rsidR="006C7D45" w:rsidRDefault="006C7D45" w:rsidP="00297F48">
      <w:pPr>
        <w:ind w:left="-630"/>
        <w:rPr>
          <w:rFonts w:ascii="Arial" w:hAnsi="Arial" w:cs="Arial"/>
          <w:sz w:val="20"/>
          <w:szCs w:val="20"/>
        </w:rPr>
      </w:pPr>
    </w:p>
    <w:p w14:paraId="4BC7ADBF" w14:textId="76A8DF00" w:rsidR="00C42290" w:rsidRPr="009D4CFA" w:rsidRDefault="00903B20" w:rsidP="0019273F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</w:t>
      </w:r>
      <w:r w:rsidRPr="00903B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your input.</w:t>
      </w:r>
      <w:r w:rsidR="009D186B" w:rsidRPr="009D186B">
        <w:rPr>
          <w:rFonts w:ascii="Arial" w:hAnsi="Arial" w:cs="Arial"/>
          <w:sz w:val="20"/>
          <w:szCs w:val="20"/>
        </w:rPr>
        <w:t xml:space="preserve"> </w:t>
      </w:r>
      <w:r w:rsidR="009D186B">
        <w:rPr>
          <w:rFonts w:ascii="Arial" w:hAnsi="Arial" w:cs="Arial"/>
          <w:sz w:val="20"/>
          <w:szCs w:val="20"/>
        </w:rPr>
        <w:t xml:space="preserve">Please email your comments to: </w:t>
      </w:r>
      <w:hyperlink r:id="rId15" w:history="1">
        <w:r w:rsidR="009D186B" w:rsidRPr="0087771A">
          <w:rPr>
            <w:rStyle w:val="Hyperlink"/>
            <w:rFonts w:ascii="Arial" w:hAnsi="Arial" w:cs="Arial"/>
            <w:sz w:val="20"/>
            <w:szCs w:val="20"/>
          </w:rPr>
          <w:t>tariffdesign@aeso.ca</w:t>
        </w:r>
      </w:hyperlink>
      <w:r w:rsidR="009D186B">
        <w:rPr>
          <w:rFonts w:ascii="Arial" w:hAnsi="Arial" w:cs="Arial"/>
          <w:sz w:val="20"/>
          <w:szCs w:val="20"/>
        </w:rPr>
        <w:t xml:space="preserve">. </w:t>
      </w:r>
    </w:p>
    <w:sectPr w:rsidR="00C42290" w:rsidRPr="009D4CFA" w:rsidSect="00B37FC9">
      <w:headerReference w:type="default" r:id="rId16"/>
      <w:footerReference w:type="default" r:id="rId17"/>
      <w:headerReference w:type="first" r:id="rId18"/>
      <w:footerReference w:type="first" r:id="rId19"/>
      <w:pgSz w:w="15840" w:h="12240" w:orient="landscape" w:code="1"/>
      <w:pgMar w:top="1890" w:right="72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82B49" w14:textId="77777777" w:rsidR="00A35540" w:rsidRDefault="00A35540" w:rsidP="00E77EC5">
      <w:r>
        <w:separator/>
      </w:r>
    </w:p>
  </w:endnote>
  <w:endnote w:type="continuationSeparator" w:id="0">
    <w:p w14:paraId="1C27735E" w14:textId="77777777" w:rsidR="00A35540" w:rsidRDefault="00A35540" w:rsidP="00E77EC5">
      <w:r>
        <w:continuationSeparator/>
      </w:r>
    </w:p>
  </w:endnote>
  <w:endnote w:type="continuationNotice" w:id="1">
    <w:p w14:paraId="75905C0D" w14:textId="77777777" w:rsidR="00A35540" w:rsidRDefault="00A355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7ADC7" w14:textId="4A0A8EDC" w:rsidR="00A35540" w:rsidRPr="00BC502D" w:rsidRDefault="00A35540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>
      <w:rPr>
        <w:rFonts w:ascii="Arial" w:hAnsi="Arial" w:cs="Arial"/>
        <w:sz w:val="18"/>
        <w:szCs w:val="18"/>
      </w:rPr>
      <w:t>March 25, 2021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7ADCE" w14:textId="0DF6E2B9" w:rsidR="00A35540" w:rsidRPr="00BC502D" w:rsidRDefault="00A35540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>
      <w:rPr>
        <w:rFonts w:ascii="Arial" w:hAnsi="Arial" w:cs="Arial"/>
        <w:sz w:val="18"/>
        <w:szCs w:val="18"/>
      </w:rPr>
      <w:t>Stakeholder Comment</w:t>
    </w:r>
    <w:r w:rsidRPr="00BC502D">
      <w:rPr>
        <w:rFonts w:ascii="Arial" w:hAnsi="Arial" w:cs="Arial"/>
        <w:sz w:val="18"/>
        <w:szCs w:val="18"/>
      </w:rPr>
      <w:t xml:space="preserve">: </w:t>
    </w:r>
    <w:r>
      <w:rPr>
        <w:rFonts w:ascii="Arial" w:hAnsi="Arial" w:cs="Arial"/>
        <w:sz w:val="18"/>
        <w:szCs w:val="18"/>
      </w:rPr>
      <w:t>March 25, 2021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453E2" w14:textId="77777777" w:rsidR="00A35540" w:rsidRDefault="00A35540" w:rsidP="00E77EC5">
      <w:r>
        <w:separator/>
      </w:r>
    </w:p>
  </w:footnote>
  <w:footnote w:type="continuationSeparator" w:id="0">
    <w:p w14:paraId="69A0A8A6" w14:textId="77777777" w:rsidR="00A35540" w:rsidRDefault="00A35540" w:rsidP="00E77EC5">
      <w:r>
        <w:continuationSeparator/>
      </w:r>
    </w:p>
  </w:footnote>
  <w:footnote w:type="continuationNotice" w:id="1">
    <w:p w14:paraId="770A1A87" w14:textId="77777777" w:rsidR="00A35540" w:rsidRDefault="00A355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7ADC4" w14:textId="77777777" w:rsidR="00A35540" w:rsidRDefault="00A35540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8241" behindDoc="1" locked="1" layoutInCell="0" allowOverlap="1" wp14:anchorId="4BC7ADCF" wp14:editId="4BC7ADD0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0"/>
          <wp:wrapNone/>
          <wp:docPr id="1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1" layoutInCell="0" allowOverlap="1" wp14:anchorId="4BC7ADD1" wp14:editId="4BC7ADD2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0"/>
          <wp:wrapNone/>
          <wp:docPr id="3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C7ADC5" w14:textId="77777777" w:rsidR="00A35540" w:rsidRDefault="00A35540" w:rsidP="00BD7A7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262"/>
    </w:tblGrid>
    <w:tr w:rsidR="00A35540" w:rsidRPr="00D201BB" w14:paraId="4BC7ADCB" w14:textId="77777777" w:rsidTr="00312309">
      <w:trPr>
        <w:trHeight w:val="1440"/>
      </w:trPr>
      <w:tc>
        <w:tcPr>
          <w:tcW w:w="8262" w:type="dxa"/>
          <w:shd w:val="clear" w:color="auto" w:fill="auto"/>
          <w:vAlign w:val="bottom"/>
        </w:tcPr>
        <w:p w14:paraId="4BC7ADC8" w14:textId="3E1A8FF2" w:rsidR="00A35540" w:rsidRPr="00B96407" w:rsidRDefault="00A35540" w:rsidP="00903B20">
          <w:pPr>
            <w:pStyle w:val="Title"/>
            <w:spacing w:before="240" w:after="60"/>
            <w:rPr>
              <w:rFonts w:ascii="Arial" w:hAnsi="Arial"/>
              <w:b/>
              <w:color w:val="1F497D"/>
              <w:sz w:val="32"/>
              <w:szCs w:val="24"/>
            </w:rPr>
          </w:pPr>
          <w:r w:rsidRPr="00B96407">
            <w:rPr>
              <w:rFonts w:ascii="Arial" w:hAnsi="Arial"/>
              <w:b/>
              <w:color w:val="1F497D"/>
              <w:sz w:val="32"/>
              <w:szCs w:val="24"/>
            </w:rPr>
            <w:t xml:space="preserve">Stakeholder Comment Matrix – </w:t>
          </w:r>
          <w:r>
            <w:rPr>
              <w:rFonts w:ascii="Arial" w:hAnsi="Arial"/>
              <w:b/>
              <w:color w:val="1F497D"/>
              <w:sz w:val="32"/>
              <w:szCs w:val="24"/>
            </w:rPr>
            <w:t>March 25, 2021</w:t>
          </w:r>
          <w:r w:rsidRPr="00B96407">
            <w:rPr>
              <w:rFonts w:ascii="Arial" w:hAnsi="Arial"/>
              <w:b/>
              <w:color w:val="1F497D"/>
              <w:sz w:val="32"/>
              <w:szCs w:val="24"/>
            </w:rPr>
            <w:t xml:space="preserve"> </w:t>
          </w:r>
        </w:p>
        <w:p w14:paraId="4BC7ADC9" w14:textId="574EFBAE" w:rsidR="00A35540" w:rsidRPr="00B96407" w:rsidRDefault="00A35540" w:rsidP="005B7C68">
          <w:pPr>
            <w:spacing w:after="120"/>
            <w:textAlignment w:val="baseline"/>
            <w:outlineLvl w:val="0"/>
            <w:rPr>
              <w:rFonts w:ascii="Arial" w:hAnsi="Arial" w:cs="Arial"/>
              <w:b/>
              <w:color w:val="1F497D"/>
              <w:kern w:val="36"/>
              <w:sz w:val="22"/>
              <w:szCs w:val="22"/>
            </w:rPr>
          </w:pPr>
          <w:r w:rsidRPr="00B96407">
            <w:rPr>
              <w:rFonts w:ascii="Arial" w:hAnsi="Arial" w:cs="Arial"/>
              <w:b/>
              <w:color w:val="1F497D"/>
              <w:kern w:val="36"/>
              <w:sz w:val="22"/>
              <w:szCs w:val="22"/>
            </w:rPr>
            <w:t xml:space="preserve">Bulk and Regional Tariff Design Stakeholder Engagement Session </w:t>
          </w:r>
          <w:r>
            <w:rPr>
              <w:rFonts w:ascii="Arial" w:hAnsi="Arial" w:cs="Arial"/>
              <w:b/>
              <w:color w:val="1F497D"/>
              <w:kern w:val="36"/>
              <w:sz w:val="22"/>
              <w:szCs w:val="22"/>
            </w:rPr>
            <w:t>5</w:t>
          </w:r>
        </w:p>
        <w:p w14:paraId="4BC7ADCA" w14:textId="77777777" w:rsidR="00A35540" w:rsidRPr="005B7C68" w:rsidRDefault="00A35540" w:rsidP="00FE6EE5">
          <w:pPr>
            <w:pStyle w:val="Title"/>
            <w:rPr>
              <w:b/>
              <w:color w:val="1F497D"/>
              <w:sz w:val="24"/>
              <w:szCs w:val="24"/>
            </w:rPr>
          </w:pPr>
        </w:p>
      </w:tc>
    </w:tr>
  </w:tbl>
  <w:p w14:paraId="4BC7ADCD" w14:textId="2BB2CBA7" w:rsidR="00A35540" w:rsidRPr="00312309" w:rsidRDefault="00A35540" w:rsidP="00FE6EE5">
    <w:pPr>
      <w:ind w:left="-900"/>
      <w:rPr>
        <w:color w:val="1F497D"/>
        <w:sz w:val="12"/>
        <w:szCs w:val="12"/>
      </w:rPr>
    </w:pPr>
    <w:r>
      <w:rPr>
        <w:noProof/>
      </w:rPr>
      <w:drawing>
        <wp:anchor distT="0" distB="0" distL="114300" distR="114300" simplePos="0" relativeHeight="251658242" behindDoc="1" locked="1" layoutInCell="1" allowOverlap="0" wp14:anchorId="4BC7ADD3" wp14:editId="2FA22D59">
          <wp:simplePos x="0" y="0"/>
          <wp:positionH relativeFrom="column">
            <wp:posOffset>-1052195</wp:posOffset>
          </wp:positionH>
          <wp:positionV relativeFrom="page">
            <wp:posOffset>353060</wp:posOffset>
          </wp:positionV>
          <wp:extent cx="10179050" cy="1257300"/>
          <wp:effectExtent l="0" t="0" r="0" b="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2309">
      <w:rPr>
        <w:color w:val="1F497D"/>
        <w:sz w:val="12"/>
        <w:szCs w:val="12"/>
      </w:rPr>
      <w:fldChar w:fldCharType="begin"/>
    </w:r>
    <w:r w:rsidRPr="00312309">
      <w:rPr>
        <w:color w:val="1F497D"/>
        <w:sz w:val="12"/>
        <w:szCs w:val="12"/>
      </w:rPr>
      <w:instrText xml:space="preserve"> COMMENTS  \* Caps  \* MERGEFORMAT </w:instrText>
    </w:r>
    <w:r w:rsidRPr="00312309">
      <w:rPr>
        <w:color w:val="1F497D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4285E"/>
    <w:multiLevelType w:val="hybridMultilevel"/>
    <w:tmpl w:val="9C5C14F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04BF32A3"/>
    <w:multiLevelType w:val="hybridMultilevel"/>
    <w:tmpl w:val="B46E759C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2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362F9"/>
    <w:multiLevelType w:val="hybridMultilevel"/>
    <w:tmpl w:val="5CA8365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 w15:restartNumberingAfterBreak="0">
    <w:nsid w:val="12BE24BA"/>
    <w:multiLevelType w:val="hybridMultilevel"/>
    <w:tmpl w:val="6DD26864"/>
    <w:lvl w:ilvl="0" w:tplc="0409000F">
      <w:start w:val="1"/>
      <w:numFmt w:val="decimal"/>
      <w:lvlText w:val="%1."/>
      <w:lvlJc w:val="left"/>
      <w:pPr>
        <w:ind w:left="878" w:hanging="360"/>
      </w:p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5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D4F69"/>
    <w:multiLevelType w:val="hybridMultilevel"/>
    <w:tmpl w:val="483C8B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074674"/>
    <w:multiLevelType w:val="hybridMultilevel"/>
    <w:tmpl w:val="3730897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 w15:restartNumberingAfterBreak="0">
    <w:nsid w:val="21BB3AAC"/>
    <w:multiLevelType w:val="hybridMultilevel"/>
    <w:tmpl w:val="3B56DF3A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11F49"/>
    <w:multiLevelType w:val="hybridMultilevel"/>
    <w:tmpl w:val="B46C0F86"/>
    <w:lvl w:ilvl="0" w:tplc="71C6369C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4" w15:restartNumberingAfterBreak="0">
    <w:nsid w:val="2A3143B8"/>
    <w:multiLevelType w:val="hybridMultilevel"/>
    <w:tmpl w:val="F1CA5C5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5" w15:restartNumberingAfterBreak="0">
    <w:nsid w:val="2ED02802"/>
    <w:multiLevelType w:val="hybridMultilevel"/>
    <w:tmpl w:val="0FE0518E"/>
    <w:lvl w:ilvl="0" w:tplc="04090017">
      <w:start w:val="1"/>
      <w:numFmt w:val="lowerLetter"/>
      <w:lvlText w:val="%1)"/>
      <w:lvlJc w:val="left"/>
      <w:pPr>
        <w:ind w:left="518" w:hanging="360"/>
      </w:p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6" w15:restartNumberingAfterBreak="0">
    <w:nsid w:val="2F917D6A"/>
    <w:multiLevelType w:val="hybridMultilevel"/>
    <w:tmpl w:val="22B4A1C2"/>
    <w:lvl w:ilvl="0" w:tplc="04090017">
      <w:start w:val="1"/>
      <w:numFmt w:val="lowerLetter"/>
      <w:lvlText w:val="%1)"/>
      <w:lvlJc w:val="left"/>
      <w:pPr>
        <w:ind w:left="475" w:hanging="360"/>
      </w:p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7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6C520C"/>
    <w:multiLevelType w:val="hybridMultilevel"/>
    <w:tmpl w:val="9F528E0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56511962"/>
    <w:multiLevelType w:val="hybridMultilevel"/>
    <w:tmpl w:val="041C11F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8" w15:restartNumberingAfterBreak="0">
    <w:nsid w:val="57CB4CBE"/>
    <w:multiLevelType w:val="hybridMultilevel"/>
    <w:tmpl w:val="0930F8E0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9" w15:restartNumberingAfterBreak="0">
    <w:nsid w:val="64D9236F"/>
    <w:multiLevelType w:val="hybridMultilevel"/>
    <w:tmpl w:val="25823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14CA9"/>
    <w:multiLevelType w:val="hybridMultilevel"/>
    <w:tmpl w:val="EC98382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D1D49"/>
    <w:multiLevelType w:val="hybridMultilevel"/>
    <w:tmpl w:val="4CF25272"/>
    <w:lvl w:ilvl="0" w:tplc="04090017">
      <w:start w:val="1"/>
      <w:numFmt w:val="lowerLetter"/>
      <w:lvlText w:val="%1)"/>
      <w:lvlJc w:val="left"/>
      <w:pPr>
        <w:ind w:left="475" w:hanging="360"/>
      </w:p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3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27A23"/>
    <w:multiLevelType w:val="hybridMultilevel"/>
    <w:tmpl w:val="AD1A4BD6"/>
    <w:lvl w:ilvl="0" w:tplc="8580FD5A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20"/>
  </w:num>
  <w:num w:numId="4">
    <w:abstractNumId w:val="11"/>
  </w:num>
  <w:num w:numId="5">
    <w:abstractNumId w:val="24"/>
  </w:num>
  <w:num w:numId="6">
    <w:abstractNumId w:val="31"/>
  </w:num>
  <w:num w:numId="7">
    <w:abstractNumId w:val="26"/>
  </w:num>
  <w:num w:numId="8">
    <w:abstractNumId w:val="2"/>
  </w:num>
  <w:num w:numId="9">
    <w:abstractNumId w:val="25"/>
  </w:num>
  <w:num w:numId="10">
    <w:abstractNumId w:val="10"/>
  </w:num>
  <w:num w:numId="11">
    <w:abstractNumId w:val="22"/>
  </w:num>
  <w:num w:numId="12">
    <w:abstractNumId w:val="7"/>
  </w:num>
  <w:num w:numId="13">
    <w:abstractNumId w:val="21"/>
  </w:num>
  <w:num w:numId="14">
    <w:abstractNumId w:val="19"/>
  </w:num>
  <w:num w:numId="15">
    <w:abstractNumId w:val="12"/>
  </w:num>
  <w:num w:numId="16">
    <w:abstractNumId w:val="33"/>
  </w:num>
  <w:num w:numId="17">
    <w:abstractNumId w:val="5"/>
  </w:num>
  <w:num w:numId="18">
    <w:abstractNumId w:val="17"/>
  </w:num>
  <w:num w:numId="19">
    <w:abstractNumId w:val="30"/>
  </w:num>
  <w:num w:numId="20">
    <w:abstractNumId w:val="29"/>
  </w:num>
  <w:num w:numId="21">
    <w:abstractNumId w:val="6"/>
  </w:num>
  <w:num w:numId="22">
    <w:abstractNumId w:val="28"/>
  </w:num>
  <w:num w:numId="23">
    <w:abstractNumId w:val="3"/>
  </w:num>
  <w:num w:numId="24">
    <w:abstractNumId w:val="0"/>
  </w:num>
  <w:num w:numId="25">
    <w:abstractNumId w:val="8"/>
  </w:num>
  <w:num w:numId="26">
    <w:abstractNumId w:val="27"/>
  </w:num>
  <w:num w:numId="27">
    <w:abstractNumId w:val="14"/>
  </w:num>
  <w:num w:numId="28">
    <w:abstractNumId w:val="15"/>
  </w:num>
  <w:num w:numId="29">
    <w:abstractNumId w:val="1"/>
  </w:num>
  <w:num w:numId="30">
    <w:abstractNumId w:val="16"/>
  </w:num>
  <w:num w:numId="31">
    <w:abstractNumId w:val="32"/>
  </w:num>
  <w:num w:numId="32">
    <w:abstractNumId w:val="34"/>
  </w:num>
  <w:num w:numId="33">
    <w:abstractNumId w:val="13"/>
  </w:num>
  <w:num w:numId="34">
    <w:abstractNumId w:val="9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F8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109C"/>
    <w:rsid w:val="00032018"/>
    <w:rsid w:val="00042FA3"/>
    <w:rsid w:val="00045B0D"/>
    <w:rsid w:val="00047A85"/>
    <w:rsid w:val="0005637E"/>
    <w:rsid w:val="00057762"/>
    <w:rsid w:val="00057AC9"/>
    <w:rsid w:val="00057B10"/>
    <w:rsid w:val="00071469"/>
    <w:rsid w:val="0007208F"/>
    <w:rsid w:val="00076D6B"/>
    <w:rsid w:val="00081C84"/>
    <w:rsid w:val="00091BE3"/>
    <w:rsid w:val="00092E04"/>
    <w:rsid w:val="00097373"/>
    <w:rsid w:val="000A532E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F0E59"/>
    <w:rsid w:val="000F23F7"/>
    <w:rsid w:val="00100CA6"/>
    <w:rsid w:val="00100F60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4095"/>
    <w:rsid w:val="00147FEF"/>
    <w:rsid w:val="00155294"/>
    <w:rsid w:val="00160738"/>
    <w:rsid w:val="001631F0"/>
    <w:rsid w:val="00164E6F"/>
    <w:rsid w:val="001724F8"/>
    <w:rsid w:val="00180BF7"/>
    <w:rsid w:val="001830D7"/>
    <w:rsid w:val="00183D00"/>
    <w:rsid w:val="001843C8"/>
    <w:rsid w:val="00185DC3"/>
    <w:rsid w:val="00190831"/>
    <w:rsid w:val="00191574"/>
    <w:rsid w:val="0019273F"/>
    <w:rsid w:val="001A566B"/>
    <w:rsid w:val="001A65DA"/>
    <w:rsid w:val="001C5D7B"/>
    <w:rsid w:val="001D382E"/>
    <w:rsid w:val="001D5061"/>
    <w:rsid w:val="001E00DD"/>
    <w:rsid w:val="001E67AD"/>
    <w:rsid w:val="001E6EC9"/>
    <w:rsid w:val="001F291A"/>
    <w:rsid w:val="00203333"/>
    <w:rsid w:val="00205264"/>
    <w:rsid w:val="00210553"/>
    <w:rsid w:val="002115D1"/>
    <w:rsid w:val="00211A16"/>
    <w:rsid w:val="002160D5"/>
    <w:rsid w:val="002221BD"/>
    <w:rsid w:val="00232B12"/>
    <w:rsid w:val="0024548A"/>
    <w:rsid w:val="002576EB"/>
    <w:rsid w:val="00262462"/>
    <w:rsid w:val="00264D21"/>
    <w:rsid w:val="002678DD"/>
    <w:rsid w:val="00273ACB"/>
    <w:rsid w:val="002755AE"/>
    <w:rsid w:val="0028120F"/>
    <w:rsid w:val="00282CC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A6350"/>
    <w:rsid w:val="002B2EAD"/>
    <w:rsid w:val="002B3C2E"/>
    <w:rsid w:val="002B563C"/>
    <w:rsid w:val="002B6BC5"/>
    <w:rsid w:val="002B7303"/>
    <w:rsid w:val="002D2C87"/>
    <w:rsid w:val="002D5EE7"/>
    <w:rsid w:val="002E670E"/>
    <w:rsid w:val="002F6E69"/>
    <w:rsid w:val="002F7225"/>
    <w:rsid w:val="002F7CB0"/>
    <w:rsid w:val="0030108A"/>
    <w:rsid w:val="0030154F"/>
    <w:rsid w:val="00301C82"/>
    <w:rsid w:val="00307480"/>
    <w:rsid w:val="00312309"/>
    <w:rsid w:val="00315175"/>
    <w:rsid w:val="0031543C"/>
    <w:rsid w:val="003302A7"/>
    <w:rsid w:val="003347E9"/>
    <w:rsid w:val="00334FDA"/>
    <w:rsid w:val="00336097"/>
    <w:rsid w:val="00344963"/>
    <w:rsid w:val="00345614"/>
    <w:rsid w:val="00347CEC"/>
    <w:rsid w:val="00351C46"/>
    <w:rsid w:val="003528B4"/>
    <w:rsid w:val="00354D5A"/>
    <w:rsid w:val="00357C83"/>
    <w:rsid w:val="00361CB1"/>
    <w:rsid w:val="00375707"/>
    <w:rsid w:val="00382716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C09F9"/>
    <w:rsid w:val="003C0BBF"/>
    <w:rsid w:val="003C0E32"/>
    <w:rsid w:val="003C119D"/>
    <w:rsid w:val="003C21B3"/>
    <w:rsid w:val="003C2443"/>
    <w:rsid w:val="003C2A97"/>
    <w:rsid w:val="003D600A"/>
    <w:rsid w:val="003E1D82"/>
    <w:rsid w:val="003E30B3"/>
    <w:rsid w:val="003E4061"/>
    <w:rsid w:val="003E5F08"/>
    <w:rsid w:val="003E656F"/>
    <w:rsid w:val="003F4AF6"/>
    <w:rsid w:val="003F560A"/>
    <w:rsid w:val="003F5FBD"/>
    <w:rsid w:val="00401E38"/>
    <w:rsid w:val="00404023"/>
    <w:rsid w:val="00404A87"/>
    <w:rsid w:val="00405269"/>
    <w:rsid w:val="004058BC"/>
    <w:rsid w:val="00407688"/>
    <w:rsid w:val="00420437"/>
    <w:rsid w:val="004214BB"/>
    <w:rsid w:val="00426FF0"/>
    <w:rsid w:val="00430387"/>
    <w:rsid w:val="00433B5B"/>
    <w:rsid w:val="00436FF3"/>
    <w:rsid w:val="00444A72"/>
    <w:rsid w:val="00447116"/>
    <w:rsid w:val="00452D78"/>
    <w:rsid w:val="004562D8"/>
    <w:rsid w:val="004607E4"/>
    <w:rsid w:val="00461454"/>
    <w:rsid w:val="0046631C"/>
    <w:rsid w:val="00471FF7"/>
    <w:rsid w:val="004766C7"/>
    <w:rsid w:val="00481472"/>
    <w:rsid w:val="00487638"/>
    <w:rsid w:val="00491AB2"/>
    <w:rsid w:val="0049268A"/>
    <w:rsid w:val="00493CF2"/>
    <w:rsid w:val="004960CB"/>
    <w:rsid w:val="004B336C"/>
    <w:rsid w:val="004B4914"/>
    <w:rsid w:val="004B5865"/>
    <w:rsid w:val="004C1E5F"/>
    <w:rsid w:val="004C650B"/>
    <w:rsid w:val="004C6F9F"/>
    <w:rsid w:val="004D0BCE"/>
    <w:rsid w:val="004D31C9"/>
    <w:rsid w:val="004E475C"/>
    <w:rsid w:val="00501C26"/>
    <w:rsid w:val="005020ED"/>
    <w:rsid w:val="00503E0C"/>
    <w:rsid w:val="00510A06"/>
    <w:rsid w:val="0051450C"/>
    <w:rsid w:val="00520247"/>
    <w:rsid w:val="0052168F"/>
    <w:rsid w:val="00522BC5"/>
    <w:rsid w:val="0052332B"/>
    <w:rsid w:val="00530912"/>
    <w:rsid w:val="00531565"/>
    <w:rsid w:val="00535B2C"/>
    <w:rsid w:val="00537B28"/>
    <w:rsid w:val="00547D12"/>
    <w:rsid w:val="00547EAE"/>
    <w:rsid w:val="00550B13"/>
    <w:rsid w:val="00553588"/>
    <w:rsid w:val="00555C54"/>
    <w:rsid w:val="005565D3"/>
    <w:rsid w:val="00560121"/>
    <w:rsid w:val="005610C7"/>
    <w:rsid w:val="005618C5"/>
    <w:rsid w:val="00562632"/>
    <w:rsid w:val="0056526A"/>
    <w:rsid w:val="005653E7"/>
    <w:rsid w:val="00565A4D"/>
    <w:rsid w:val="00567DF6"/>
    <w:rsid w:val="00571BD4"/>
    <w:rsid w:val="00572063"/>
    <w:rsid w:val="00576D77"/>
    <w:rsid w:val="00577920"/>
    <w:rsid w:val="005824AA"/>
    <w:rsid w:val="005836D7"/>
    <w:rsid w:val="005858A2"/>
    <w:rsid w:val="00587DC7"/>
    <w:rsid w:val="005973C1"/>
    <w:rsid w:val="005A17A8"/>
    <w:rsid w:val="005A27D2"/>
    <w:rsid w:val="005A3930"/>
    <w:rsid w:val="005A7E4D"/>
    <w:rsid w:val="005B4D3A"/>
    <w:rsid w:val="005B7C68"/>
    <w:rsid w:val="005C6429"/>
    <w:rsid w:val="005D238B"/>
    <w:rsid w:val="005E401A"/>
    <w:rsid w:val="005E5B6C"/>
    <w:rsid w:val="005F0559"/>
    <w:rsid w:val="005F0AFC"/>
    <w:rsid w:val="006011E5"/>
    <w:rsid w:val="00611C57"/>
    <w:rsid w:val="0061591A"/>
    <w:rsid w:val="00617102"/>
    <w:rsid w:val="00627A8C"/>
    <w:rsid w:val="00631BB4"/>
    <w:rsid w:val="00645884"/>
    <w:rsid w:val="006505B3"/>
    <w:rsid w:val="006561BA"/>
    <w:rsid w:val="00657A45"/>
    <w:rsid w:val="006613A4"/>
    <w:rsid w:val="0066167F"/>
    <w:rsid w:val="0067018D"/>
    <w:rsid w:val="006707FC"/>
    <w:rsid w:val="006708C1"/>
    <w:rsid w:val="00673B09"/>
    <w:rsid w:val="006740DC"/>
    <w:rsid w:val="00677450"/>
    <w:rsid w:val="00677E30"/>
    <w:rsid w:val="00680783"/>
    <w:rsid w:val="00680FDC"/>
    <w:rsid w:val="00690484"/>
    <w:rsid w:val="00690F91"/>
    <w:rsid w:val="00693597"/>
    <w:rsid w:val="006959DA"/>
    <w:rsid w:val="006A4167"/>
    <w:rsid w:val="006A4468"/>
    <w:rsid w:val="006B0907"/>
    <w:rsid w:val="006B717A"/>
    <w:rsid w:val="006C0C83"/>
    <w:rsid w:val="006C3007"/>
    <w:rsid w:val="006C30B5"/>
    <w:rsid w:val="006C739A"/>
    <w:rsid w:val="006C73F2"/>
    <w:rsid w:val="006C7D45"/>
    <w:rsid w:val="006D7461"/>
    <w:rsid w:val="006E0CCF"/>
    <w:rsid w:val="006E115C"/>
    <w:rsid w:val="006E4CD4"/>
    <w:rsid w:val="006E61E9"/>
    <w:rsid w:val="006F04D3"/>
    <w:rsid w:val="006F14B0"/>
    <w:rsid w:val="006F6763"/>
    <w:rsid w:val="006F7BC0"/>
    <w:rsid w:val="007027C3"/>
    <w:rsid w:val="00704DEF"/>
    <w:rsid w:val="00707DF8"/>
    <w:rsid w:val="007215C0"/>
    <w:rsid w:val="00721891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66BC8"/>
    <w:rsid w:val="007701AA"/>
    <w:rsid w:val="00773418"/>
    <w:rsid w:val="00773492"/>
    <w:rsid w:val="00783D16"/>
    <w:rsid w:val="007862A5"/>
    <w:rsid w:val="007917F1"/>
    <w:rsid w:val="007A0CE2"/>
    <w:rsid w:val="007A1EAB"/>
    <w:rsid w:val="007B005D"/>
    <w:rsid w:val="007B2417"/>
    <w:rsid w:val="007B2F90"/>
    <w:rsid w:val="007B6099"/>
    <w:rsid w:val="007B7EE9"/>
    <w:rsid w:val="007C2FDA"/>
    <w:rsid w:val="007C64CD"/>
    <w:rsid w:val="007D6192"/>
    <w:rsid w:val="007D7FA8"/>
    <w:rsid w:val="007E20B6"/>
    <w:rsid w:val="007E3BC5"/>
    <w:rsid w:val="007F4941"/>
    <w:rsid w:val="007F5024"/>
    <w:rsid w:val="007F5F2F"/>
    <w:rsid w:val="00800B1D"/>
    <w:rsid w:val="008025D2"/>
    <w:rsid w:val="008067A8"/>
    <w:rsid w:val="00806CCE"/>
    <w:rsid w:val="00825D72"/>
    <w:rsid w:val="008260C3"/>
    <w:rsid w:val="0083123C"/>
    <w:rsid w:val="008344FD"/>
    <w:rsid w:val="00835FBA"/>
    <w:rsid w:val="00842FD3"/>
    <w:rsid w:val="008453F4"/>
    <w:rsid w:val="008456BC"/>
    <w:rsid w:val="00847D76"/>
    <w:rsid w:val="008508C9"/>
    <w:rsid w:val="00851DF1"/>
    <w:rsid w:val="00856A39"/>
    <w:rsid w:val="008609DA"/>
    <w:rsid w:val="00867CE5"/>
    <w:rsid w:val="008721C6"/>
    <w:rsid w:val="00884FF6"/>
    <w:rsid w:val="008962FA"/>
    <w:rsid w:val="008A08B7"/>
    <w:rsid w:val="008A1DEA"/>
    <w:rsid w:val="008B2334"/>
    <w:rsid w:val="008B55D0"/>
    <w:rsid w:val="008B7E2B"/>
    <w:rsid w:val="008C2BD4"/>
    <w:rsid w:val="008C5501"/>
    <w:rsid w:val="008C78C6"/>
    <w:rsid w:val="008D3878"/>
    <w:rsid w:val="008E1EA9"/>
    <w:rsid w:val="008E29DD"/>
    <w:rsid w:val="008F08F5"/>
    <w:rsid w:val="008F1B68"/>
    <w:rsid w:val="008F6924"/>
    <w:rsid w:val="008F7680"/>
    <w:rsid w:val="00901607"/>
    <w:rsid w:val="009017B4"/>
    <w:rsid w:val="009028E4"/>
    <w:rsid w:val="00903B20"/>
    <w:rsid w:val="0090448D"/>
    <w:rsid w:val="00920078"/>
    <w:rsid w:val="00921B61"/>
    <w:rsid w:val="00922282"/>
    <w:rsid w:val="0093597F"/>
    <w:rsid w:val="009362A2"/>
    <w:rsid w:val="00950D4E"/>
    <w:rsid w:val="0095265D"/>
    <w:rsid w:val="00954FD0"/>
    <w:rsid w:val="009625CF"/>
    <w:rsid w:val="009653C2"/>
    <w:rsid w:val="00965834"/>
    <w:rsid w:val="00967D2F"/>
    <w:rsid w:val="009740DA"/>
    <w:rsid w:val="00974D68"/>
    <w:rsid w:val="009759FE"/>
    <w:rsid w:val="0097666D"/>
    <w:rsid w:val="009803C0"/>
    <w:rsid w:val="009820AB"/>
    <w:rsid w:val="009846B2"/>
    <w:rsid w:val="00987E42"/>
    <w:rsid w:val="00995B13"/>
    <w:rsid w:val="009967BE"/>
    <w:rsid w:val="009A0094"/>
    <w:rsid w:val="009A2428"/>
    <w:rsid w:val="009A364A"/>
    <w:rsid w:val="009A3E10"/>
    <w:rsid w:val="009A5C77"/>
    <w:rsid w:val="009B25D8"/>
    <w:rsid w:val="009B2707"/>
    <w:rsid w:val="009B31A5"/>
    <w:rsid w:val="009B6D8E"/>
    <w:rsid w:val="009B7C93"/>
    <w:rsid w:val="009C3252"/>
    <w:rsid w:val="009C3440"/>
    <w:rsid w:val="009C3BC4"/>
    <w:rsid w:val="009D04FD"/>
    <w:rsid w:val="009D186B"/>
    <w:rsid w:val="009D4CFA"/>
    <w:rsid w:val="009D6CD0"/>
    <w:rsid w:val="009E32A8"/>
    <w:rsid w:val="009E7E40"/>
    <w:rsid w:val="00A01000"/>
    <w:rsid w:val="00A051AF"/>
    <w:rsid w:val="00A06F0D"/>
    <w:rsid w:val="00A111C4"/>
    <w:rsid w:val="00A24F86"/>
    <w:rsid w:val="00A32302"/>
    <w:rsid w:val="00A32C95"/>
    <w:rsid w:val="00A35324"/>
    <w:rsid w:val="00A35540"/>
    <w:rsid w:val="00A359ED"/>
    <w:rsid w:val="00A42073"/>
    <w:rsid w:val="00A4399E"/>
    <w:rsid w:val="00A442E1"/>
    <w:rsid w:val="00A45404"/>
    <w:rsid w:val="00A457DE"/>
    <w:rsid w:val="00A46CFC"/>
    <w:rsid w:val="00A5095E"/>
    <w:rsid w:val="00A57A88"/>
    <w:rsid w:val="00A63133"/>
    <w:rsid w:val="00A64353"/>
    <w:rsid w:val="00A674AC"/>
    <w:rsid w:val="00A7577C"/>
    <w:rsid w:val="00A82AB6"/>
    <w:rsid w:val="00A82FED"/>
    <w:rsid w:val="00A84D7E"/>
    <w:rsid w:val="00A87202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E6C20"/>
    <w:rsid w:val="00AF01DC"/>
    <w:rsid w:val="00AF0689"/>
    <w:rsid w:val="00AF2D2E"/>
    <w:rsid w:val="00AF5FDF"/>
    <w:rsid w:val="00AF77C2"/>
    <w:rsid w:val="00AF789C"/>
    <w:rsid w:val="00B041E0"/>
    <w:rsid w:val="00B06816"/>
    <w:rsid w:val="00B075AF"/>
    <w:rsid w:val="00B10504"/>
    <w:rsid w:val="00B106F4"/>
    <w:rsid w:val="00B112B5"/>
    <w:rsid w:val="00B1559A"/>
    <w:rsid w:val="00B22E96"/>
    <w:rsid w:val="00B25F75"/>
    <w:rsid w:val="00B31A68"/>
    <w:rsid w:val="00B37FC9"/>
    <w:rsid w:val="00B41F50"/>
    <w:rsid w:val="00B43F60"/>
    <w:rsid w:val="00B5223A"/>
    <w:rsid w:val="00B54738"/>
    <w:rsid w:val="00B621E6"/>
    <w:rsid w:val="00B62675"/>
    <w:rsid w:val="00B717CF"/>
    <w:rsid w:val="00B749D9"/>
    <w:rsid w:val="00B772C8"/>
    <w:rsid w:val="00B83357"/>
    <w:rsid w:val="00B8598B"/>
    <w:rsid w:val="00B87A46"/>
    <w:rsid w:val="00B96407"/>
    <w:rsid w:val="00BA1596"/>
    <w:rsid w:val="00BA65FC"/>
    <w:rsid w:val="00BA74BE"/>
    <w:rsid w:val="00BB0607"/>
    <w:rsid w:val="00BB19E2"/>
    <w:rsid w:val="00BB22B2"/>
    <w:rsid w:val="00BB5F08"/>
    <w:rsid w:val="00BC2C68"/>
    <w:rsid w:val="00BC39E2"/>
    <w:rsid w:val="00BC502D"/>
    <w:rsid w:val="00BC66A2"/>
    <w:rsid w:val="00BC6B1C"/>
    <w:rsid w:val="00BC7E87"/>
    <w:rsid w:val="00BD2B3F"/>
    <w:rsid w:val="00BD7A7B"/>
    <w:rsid w:val="00BE7E3B"/>
    <w:rsid w:val="00C1579D"/>
    <w:rsid w:val="00C27ABB"/>
    <w:rsid w:val="00C33B01"/>
    <w:rsid w:val="00C345B7"/>
    <w:rsid w:val="00C34B7C"/>
    <w:rsid w:val="00C42290"/>
    <w:rsid w:val="00C43A29"/>
    <w:rsid w:val="00C57647"/>
    <w:rsid w:val="00C6023B"/>
    <w:rsid w:val="00C60D5F"/>
    <w:rsid w:val="00C737E5"/>
    <w:rsid w:val="00C75A8A"/>
    <w:rsid w:val="00C76D6A"/>
    <w:rsid w:val="00C85BFF"/>
    <w:rsid w:val="00C93456"/>
    <w:rsid w:val="00CA2A66"/>
    <w:rsid w:val="00CA5296"/>
    <w:rsid w:val="00CB1E37"/>
    <w:rsid w:val="00CB5BA6"/>
    <w:rsid w:val="00CB6826"/>
    <w:rsid w:val="00CE00FB"/>
    <w:rsid w:val="00CE64C9"/>
    <w:rsid w:val="00CF3106"/>
    <w:rsid w:val="00D032CF"/>
    <w:rsid w:val="00D07332"/>
    <w:rsid w:val="00D10B21"/>
    <w:rsid w:val="00D15DA5"/>
    <w:rsid w:val="00D17875"/>
    <w:rsid w:val="00D35899"/>
    <w:rsid w:val="00D362EB"/>
    <w:rsid w:val="00D44EDF"/>
    <w:rsid w:val="00D527AB"/>
    <w:rsid w:val="00D57BC7"/>
    <w:rsid w:val="00D61AA9"/>
    <w:rsid w:val="00D72558"/>
    <w:rsid w:val="00D73D63"/>
    <w:rsid w:val="00D7482A"/>
    <w:rsid w:val="00D757E9"/>
    <w:rsid w:val="00D80BE1"/>
    <w:rsid w:val="00D95485"/>
    <w:rsid w:val="00D974C1"/>
    <w:rsid w:val="00D975A5"/>
    <w:rsid w:val="00DA2ACC"/>
    <w:rsid w:val="00DA357A"/>
    <w:rsid w:val="00DA4D7D"/>
    <w:rsid w:val="00DA76FE"/>
    <w:rsid w:val="00DC68E9"/>
    <w:rsid w:val="00DC7D20"/>
    <w:rsid w:val="00DD1BB2"/>
    <w:rsid w:val="00DD23CD"/>
    <w:rsid w:val="00DD323C"/>
    <w:rsid w:val="00DD52E2"/>
    <w:rsid w:val="00DD5B98"/>
    <w:rsid w:val="00DE218F"/>
    <w:rsid w:val="00DE21A4"/>
    <w:rsid w:val="00DE3733"/>
    <w:rsid w:val="00DE530E"/>
    <w:rsid w:val="00DE5EA2"/>
    <w:rsid w:val="00DE7357"/>
    <w:rsid w:val="00DF2E13"/>
    <w:rsid w:val="00DF456C"/>
    <w:rsid w:val="00DF7377"/>
    <w:rsid w:val="00E039FF"/>
    <w:rsid w:val="00E04D95"/>
    <w:rsid w:val="00E11F2F"/>
    <w:rsid w:val="00E13386"/>
    <w:rsid w:val="00E15BD4"/>
    <w:rsid w:val="00E26E54"/>
    <w:rsid w:val="00E4142D"/>
    <w:rsid w:val="00E44D8B"/>
    <w:rsid w:val="00E530DF"/>
    <w:rsid w:val="00E64825"/>
    <w:rsid w:val="00E72EC5"/>
    <w:rsid w:val="00E74D37"/>
    <w:rsid w:val="00E77EC5"/>
    <w:rsid w:val="00E84770"/>
    <w:rsid w:val="00E96B5F"/>
    <w:rsid w:val="00EA637B"/>
    <w:rsid w:val="00EC7DD1"/>
    <w:rsid w:val="00ED4AAB"/>
    <w:rsid w:val="00EE05B4"/>
    <w:rsid w:val="00EE176F"/>
    <w:rsid w:val="00EF165F"/>
    <w:rsid w:val="00EF770B"/>
    <w:rsid w:val="00F059E5"/>
    <w:rsid w:val="00F13DB1"/>
    <w:rsid w:val="00F16883"/>
    <w:rsid w:val="00F2165E"/>
    <w:rsid w:val="00F255D4"/>
    <w:rsid w:val="00F259A9"/>
    <w:rsid w:val="00F308D8"/>
    <w:rsid w:val="00F30B6A"/>
    <w:rsid w:val="00F32E4B"/>
    <w:rsid w:val="00F35FFD"/>
    <w:rsid w:val="00F3732D"/>
    <w:rsid w:val="00F426F5"/>
    <w:rsid w:val="00F504A2"/>
    <w:rsid w:val="00F52120"/>
    <w:rsid w:val="00F54258"/>
    <w:rsid w:val="00F54284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C128F"/>
    <w:rsid w:val="00FC2049"/>
    <w:rsid w:val="00FC3129"/>
    <w:rsid w:val="00FC536B"/>
    <w:rsid w:val="00FD42D8"/>
    <w:rsid w:val="00FD4547"/>
    <w:rsid w:val="00FD670F"/>
    <w:rsid w:val="00FD7A16"/>
    <w:rsid w:val="00FE02CA"/>
    <w:rsid w:val="00FE1180"/>
    <w:rsid w:val="00FE3F60"/>
    <w:rsid w:val="00FE6EE5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4BC7AD87"/>
  <w15:docId w15:val="{B2D93D2A-44D5-482D-AEEA-CA360073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B7C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312309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312309"/>
    <w:rPr>
      <w:rFonts w:cs="Arial"/>
      <w:color w:val="FFFFFF"/>
      <w:sz w:val="48"/>
      <w:szCs w:val="48"/>
    </w:rPr>
  </w:style>
  <w:style w:type="character" w:customStyle="1" w:styleId="Heading1Char">
    <w:name w:val="Heading 1 Char"/>
    <w:link w:val="Heading1"/>
    <w:uiPriority w:val="9"/>
    <w:rsid w:val="005B7C68"/>
    <w:rPr>
      <w:b/>
      <w:bCs/>
      <w:kern w:val="36"/>
      <w:sz w:val="48"/>
      <w:szCs w:val="48"/>
    </w:rPr>
  </w:style>
  <w:style w:type="paragraph" w:styleId="Revision">
    <w:name w:val="Revision"/>
    <w:hidden/>
    <w:uiPriority w:val="99"/>
    <w:semiHidden/>
    <w:rsid w:val="00975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tariffdesign@aeso.ca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tariffdesign@aeso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riff Document" ma:contentTypeID="0x010100BC84ACA119491D43B8AEA0C41A758E3B0B0600B71823FBBAAF324C862125ECD85A823C" ma:contentTypeVersion="51" ma:contentTypeDescription="" ma:contentTypeScope="" ma:versionID="d32982135025f4277788c602658eed90">
  <xsd:schema xmlns:xsd="http://www.w3.org/2001/XMLSchema" xmlns:xs="http://www.w3.org/2001/XMLSchema" xmlns:p="http://schemas.microsoft.com/office/2006/metadata/properties" xmlns:ns2="bfc2574c-8110-4e43-9784-1ee86de75c6c" xmlns:ns4="650fffc6-a86a-4844-afad-966e4497fd3d" xmlns:ns5="3874a12c-cb96-46c0-a01b-e4d7e8d40966" targetNamespace="http://schemas.microsoft.com/office/2006/metadata/properties" ma:root="true" ma:fieldsID="190e0d48477b3e583190f42dea4addcc" ns2:_="" ns4:_="" ns5:_="">
    <xsd:import namespace="bfc2574c-8110-4e43-9784-1ee86de75c6c"/>
    <xsd:import namespace="650fffc6-a86a-4844-afad-966e4497fd3d"/>
    <xsd:import namespace="3874a12c-cb96-46c0-a01b-e4d7e8d40966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2:Filing_x0020_Date" minOccurs="0"/>
                <xsd:element ref="ns4:CWRMItemRecordState" minOccurs="0"/>
                <xsd:element ref="ns4:CWRMItemRecordCategory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4:CWRMItemUniqueId" minOccurs="0"/>
                <xsd:element ref="ns2:o74c417c636446b2936ee46a3b1dd71d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5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Filing_x0020_Date" ma:index="6" nillable="true" ma:displayName="AUC Registration Date" ma:format="DateOnly" ma:internalName="Filing_x0020_Date">
      <xsd:simpleType>
        <xsd:restriction base="dms:DateTime"/>
      </xsd:simpleType>
    </xsd:element>
    <xsd:element name="TaxCatchAll" ma:index="10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8" nillable="true" ma:taxonomy="true" ma:internalName="fdc7710463144dc19a8992998d0907da" ma:taxonomyFieldName="Confidentiality_x0020_Classification" ma:displayName="Confidentiality Classification" ma:default="1271;#AESO Internal|fe2129cc-e616-4c1e-9a39-b6921e014562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74c417c636446b2936ee46a3b1dd71d" ma:index="26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CWRMItemRecordState" ma:index="7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8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  <xsd:element name="e94be97ffb024deb9c3d6d978a059d35" ma:index="9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3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4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5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6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5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a12c-cb96-46c0-a01b-e4d7e8d40966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Filing_x0020_Date xmlns="bfc2574c-8110-4e43-9784-1ee86de75c6c" xsi:nil="true"/>
    <TaxCatchAll xmlns="bfc2574c-8110-4e43-9784-1ee86de75c6c">
      <Value>1321</Value>
      <Value>1271</Value>
      <Value>1348</Value>
    </TaxCatchAll>
    <Activity_x0020_Complete_x0020_Date xmlns="bfc2574c-8110-4e43-9784-1ee86de75c6c" xsi:nil="true"/>
    <LARA_x0020_Status xmlns="bfc2574c-8110-4e43-9784-1ee86de75c6c">Active</LARA_x0020_Status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REG-00 - Tariff Development and Application Administration</TermName>
          <TermId xmlns="http://schemas.microsoft.com/office/infopath/2007/PartnerControls">a0f21eea-a95c-4984-bbc5-f702b4b89e29</TermId>
        </TermInfo>
      </Terms>
    </e94be97ffb024deb9c3d6d978a059d35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CWRMItemRecordCategory xmlns="650fffc6-a86a-4844-afad-966e4497fd3d" xsi:nil="true"/>
    <CWRMItemRecordState xmlns="650fffc6-a86a-4844-afad-966e4497fd3d" xsi:nil="true"/>
    <CWRMItemRecordStatus xmlns="650fffc6-a86a-4844-afad-966e4497fd3d" xsi:nil="true"/>
    <CWRMItemUniqueId xmlns="650fffc6-a86a-4844-afad-966e4497fd3d">000000ORPE</CWRMItemUniqueId>
    <CWRMItemRecordDeclaredDate xmlns="650fffc6-a86a-4844-afad-966e4497fd3d" xsi:nil="true"/>
    <CWRMItemRecordVital xmlns="650fffc6-a86a-4844-afad-966e4497fd3d">false</CWRMItemRecordVital>
    <_dlc_DocId xmlns="bfc2574c-8110-4e43-9784-1ee86de75c6c">000000ORPE</_dlc_DocId>
    <_dlc_DocIdUrl xmlns="bfc2574c-8110-4e43-9784-1ee86de75c6c">
      <Url>https://share.aeso.ca/sites/records-law/LARA/_layouts/15/DocIdRedir.aspx?ID=000000ORPE</Url>
      <Description>000000ORPE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93371fdb-7bec-4d52-adeb-1166efac0023" ContentTypeId="0x010100BC84ACA119491D43B8AEA0C41A758E3B0B06" PreviousValue="false"/>
</file>

<file path=customXml/itemProps1.xml><?xml version="1.0" encoding="utf-8"?>
<ds:datastoreItem xmlns:ds="http://schemas.openxmlformats.org/officeDocument/2006/customXml" ds:itemID="{9F68B0FD-ADA5-44E7-9E2B-A91CD082CA6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343E7D7-4DB6-4367-8883-334A159B6E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FE9643-8B9C-422E-8CE0-9EFF73AD2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2574c-8110-4e43-9784-1ee86de75c6c"/>
    <ds:schemaRef ds:uri="650fffc6-a86a-4844-afad-966e4497fd3d"/>
    <ds:schemaRef ds:uri="3874a12c-cb96-46c0-a01b-e4d7e8d40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BE8404-E1D4-41DC-8911-A7169CE01AB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9D1EEAA-C113-4020-9F7B-59951F38DAD0}">
  <ds:schemaRefs>
    <ds:schemaRef ds:uri="http://schemas.microsoft.com/office/2006/metadata/properties"/>
    <ds:schemaRef ds:uri="http://schemas.microsoft.com/office/infopath/2007/PartnerControls"/>
    <ds:schemaRef ds:uri="bfc2574c-8110-4e43-9784-1ee86de75c6c"/>
    <ds:schemaRef ds:uri="650fffc6-a86a-4844-afad-966e4497fd3d"/>
  </ds:schemaRefs>
</ds:datastoreItem>
</file>

<file path=customXml/itemProps6.xml><?xml version="1.0" encoding="utf-8"?>
<ds:datastoreItem xmlns:ds="http://schemas.openxmlformats.org/officeDocument/2006/customXml" ds:itemID="{8C6D82DD-E4C0-408E-B7B9-EE80934E7AF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60033BB-2C75-462E-BEE3-8A828A978DD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4</Pages>
  <Words>719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4816</CharactersWithSpaces>
  <SharedDoc>false</SharedDoc>
  <HLinks>
    <vt:vector size="12" baseType="variant">
      <vt:variant>
        <vt:i4>5963898</vt:i4>
      </vt:variant>
      <vt:variant>
        <vt:i4>12</vt:i4>
      </vt:variant>
      <vt:variant>
        <vt:i4>0</vt:i4>
      </vt:variant>
      <vt:variant>
        <vt:i4>5</vt:i4>
      </vt:variant>
      <vt:variant>
        <vt:lpwstr>mailto:tariffdesign@aeso.ca</vt:lpwstr>
      </vt:variant>
      <vt:variant>
        <vt:lpwstr/>
      </vt:variant>
      <vt:variant>
        <vt:i4>5963898</vt:i4>
      </vt:variant>
      <vt:variant>
        <vt:i4>9</vt:i4>
      </vt:variant>
      <vt:variant>
        <vt:i4>0</vt:i4>
      </vt:variant>
      <vt:variant>
        <vt:i4>5</vt:i4>
      </vt:variant>
      <vt:variant>
        <vt:lpwstr>mailto:tariffdesign@aeso.ca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Alison.Desmarais@aeso.ca</dc:creator>
  <cp:keywords/>
  <cp:lastModifiedBy>Karla Anderson</cp:lastModifiedBy>
  <cp:revision>2</cp:revision>
  <cp:lastPrinted>2020-03-05T02:12:00Z</cp:lastPrinted>
  <dcterms:created xsi:type="dcterms:W3CDTF">2021-03-25T19:10:00Z</dcterms:created>
  <dcterms:modified xsi:type="dcterms:W3CDTF">2021-03-25T19:10:00Z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0x010100BC84ACA119491D43B8AEA0C41A758E3B0B0600B71823FBBAAF324C862125ECD85A823C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ConsultationRound">
    <vt:lpwstr/>
  </property>
  <property fmtid="{D5CDD505-2E9C-101B-9397-08002B2CF9AE}" pid="11" name="MultipleConsultations">
    <vt:lpwstr>0</vt:lpwstr>
  </property>
  <property fmtid="{D5CDD505-2E9C-101B-9397-08002B2CF9AE}" pid="12" name="ConsultationEndDate">
    <vt:lpwstr/>
  </property>
  <property fmtid="{D5CDD505-2E9C-101B-9397-08002B2CF9AE}" pid="13" name="ADDrafter">
    <vt:lpwstr/>
  </property>
  <property fmtid="{D5CDD505-2E9C-101B-9397-08002B2CF9AE}" pid="14" name="ProjectManager">
    <vt:lpwstr/>
  </property>
  <property fmtid="{D5CDD505-2E9C-101B-9397-08002B2CF9AE}" pid="15" name="ConsultationStartDate">
    <vt:lpwstr/>
  </property>
  <property fmtid="{D5CDD505-2E9C-101B-9397-08002B2CF9AE}" pid="16" name="ADSponsor">
    <vt:lpwstr/>
  </property>
  <property fmtid="{D5CDD505-2E9C-101B-9397-08002B2CF9AE}" pid="17" name="DocumentDate">
    <vt:lpwstr/>
  </property>
  <property fmtid="{D5CDD505-2E9C-101B-9397-08002B2CF9AE}" pid="18" name="EffectiveDate">
    <vt:lpwstr/>
  </property>
  <property fmtid="{D5CDD505-2E9C-101B-9397-08002B2CF9AE}" pid="19" name="FilingDate">
    <vt:lpwstr/>
  </property>
  <property fmtid="{D5CDD505-2E9C-101B-9397-08002B2CF9AE}" pid="20" name="CWRMItemRecordClassification">
    <vt:lpwstr>1321;#REG-00 - Tariff Development and Application Administration|a0f21eea-a95c-4984-bbc5-f702b4b89e29</vt:lpwstr>
  </property>
  <property fmtid="{D5CDD505-2E9C-101B-9397-08002B2CF9AE}" pid="21" name="CWRMItemRecordVital">
    <vt:lpwstr/>
  </property>
  <property fmtid="{D5CDD505-2E9C-101B-9397-08002B2CF9AE}" pid="22" name="Confidentiality Classification">
    <vt:lpwstr>1271;#AESO Internal|fe2129cc-e616-4c1e-9a39-b6921e014562</vt:lpwstr>
  </property>
  <property fmtid="{D5CDD505-2E9C-101B-9397-08002B2CF9AE}" pid="23" name="CWRMItemRecordCategory">
    <vt:lpwstr/>
  </property>
  <property fmtid="{D5CDD505-2E9C-101B-9397-08002B2CF9AE}" pid="24" name="CWRMItemRecordState">
    <vt:lpwstr/>
  </property>
  <property fmtid="{D5CDD505-2E9C-101B-9397-08002B2CF9AE}" pid="25" name="CWRMItemRecordStatus">
    <vt:lpwstr/>
  </property>
  <property fmtid="{D5CDD505-2E9C-101B-9397-08002B2CF9AE}" pid="26" name="CWRMItemRecordDeclaredDate">
    <vt:lpwstr/>
  </property>
  <property fmtid="{D5CDD505-2E9C-101B-9397-08002B2CF9AE}" pid="27" name="LARA Category0">
    <vt:lpwstr>1348;#Stakeholder Engagement|6220e8f1-840d-40ad-b65f-2194c8e12464</vt:lpwstr>
  </property>
  <property fmtid="{D5CDD505-2E9C-101B-9397-08002B2CF9AE}" pid="28" name="CWRMItemUniqueId">
    <vt:lpwstr>000000FCLP</vt:lpwstr>
  </property>
  <property fmtid="{D5CDD505-2E9C-101B-9397-08002B2CF9AE}" pid="29" name="_dlc_DocIdItemGuid">
    <vt:lpwstr>7627d4c9-9b53-4c1e-88b9-008880bc6ab9</vt:lpwstr>
  </property>
</Properties>
</file>