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4BC7AD9D" w14:textId="77777777" w:rsidTr="00FE6EE5">
        <w:trPr>
          <w:trHeight w:val="1367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2495"/>
              <w:gridCol w:w="877"/>
              <w:gridCol w:w="3000"/>
            </w:tblGrid>
            <w:tr w:rsidR="008609DA" w:rsidRPr="0061591A" w14:paraId="4BC7AD8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8" w14:textId="731F00B9" w:rsidR="008609DA" w:rsidRPr="0061591A" w:rsidRDefault="00F54258" w:rsidP="00EF770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Dec. 10</w:t>
                  </w:r>
                  <w:r w:rsidR="00766BC8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9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A" w14:textId="52770FC1" w:rsidR="008609DA" w:rsidRPr="0061591A" w:rsidRDefault="00F54258" w:rsidP="008962F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Jan. 12</w:t>
                  </w:r>
                  <w:r w:rsidR="008721C6">
                    <w:rPr>
                      <w:rFonts w:ascii="Arial" w:hAnsi="Arial" w:cs="Arial"/>
                      <w:sz w:val="20"/>
                      <w:szCs w:val="20"/>
                    </w:rPr>
                    <w:t>,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609DA" w:rsidRPr="0061591A" w14:paraId="4BC7AD8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C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BC7AD91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0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7AD92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BC7AD9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4BC7AD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4BC7AD9B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7AD9C" w14:textId="5F134860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9E" w14:textId="77777777" w:rsidR="00312309" w:rsidRPr="00EE78F1" w:rsidRDefault="00312309" w:rsidP="00920078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BC7AD9F" w14:textId="77777777" w:rsidR="00312309" w:rsidRPr="00B40C21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4BC7ADA0" w14:textId="508A7E65" w:rsidR="00903B20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6C1FBE7B" w14:textId="41E2775A" w:rsidR="00354D5A" w:rsidRPr="00354D5A" w:rsidRDefault="00354D5A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4BC7ADA1" w14:textId="312DCBF3" w:rsidR="00312309" w:rsidRPr="00312309" w:rsidRDefault="00903B20" w:rsidP="00F54258">
      <w:pPr>
        <w:pStyle w:val="ListParagraph"/>
        <w:keepNext/>
        <w:numPr>
          <w:ilvl w:val="0"/>
          <w:numId w:val="18"/>
        </w:numPr>
        <w:spacing w:before="120" w:after="24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Pr="00E87F46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>
        <w:rPr>
          <w:rFonts w:ascii="Arial" w:hAnsi="Arial" w:cs="Arial"/>
          <w:sz w:val="20"/>
          <w:szCs w:val="20"/>
        </w:rPr>
        <w:t xml:space="preserve"> by </w:t>
      </w:r>
      <w:r w:rsidR="00F54258">
        <w:rPr>
          <w:rFonts w:ascii="Arial" w:hAnsi="Arial" w:cs="Arial"/>
          <w:b/>
          <w:sz w:val="20"/>
          <w:szCs w:val="20"/>
        </w:rPr>
        <w:t>Jan. 12, 2021</w:t>
      </w:r>
      <w:r>
        <w:rPr>
          <w:rFonts w:ascii="Arial" w:hAnsi="Arial" w:cs="Arial"/>
          <w:sz w:val="20"/>
          <w:szCs w:val="20"/>
        </w:rPr>
        <w:t>.</w:t>
      </w:r>
      <w:r w:rsidR="00312309" w:rsidRPr="00B40C21">
        <w:rPr>
          <w:rFonts w:ascii="Arial" w:hAnsi="Arial" w:cs="Arial"/>
          <w:sz w:val="20"/>
          <w:szCs w:val="20"/>
        </w:rPr>
        <w:t xml:space="preserve"> </w:t>
      </w:r>
      <w:bookmarkStart w:id="3" w:name="_GoBack"/>
      <w:bookmarkEnd w:id="3"/>
    </w:p>
    <w:p w14:paraId="4BC7ADA2" w14:textId="5C0D1D4C" w:rsidR="008609DA" w:rsidRPr="00155294" w:rsidRDefault="00BB0607" w:rsidP="002D2C87">
      <w:pPr>
        <w:keepNext/>
        <w:spacing w:before="120" w:after="240"/>
        <w:ind w:left="-634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from Stakeholders </w:t>
      </w:r>
      <w:r w:rsidR="00F54258" w:rsidRPr="00155294">
        <w:rPr>
          <w:rFonts w:ascii="Arial" w:hAnsi="Arial" w:cs="Arial"/>
          <w:b/>
          <w:i/>
          <w:sz w:val="20"/>
          <w:szCs w:val="20"/>
        </w:rPr>
        <w:t>on Session 4. Please be as specific as possible with your responses. Thank you.</w:t>
      </w:r>
      <w:r w:rsidR="002D2C87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70"/>
        <w:gridCol w:w="7650"/>
      </w:tblGrid>
      <w:tr w:rsidR="00B37FC9" w:rsidRPr="00155294" w14:paraId="4BC7ADA6" w14:textId="77777777" w:rsidTr="00FE6EE5">
        <w:tc>
          <w:tcPr>
            <w:tcW w:w="360" w:type="dxa"/>
            <w:shd w:val="clear" w:color="auto" w:fill="365F91"/>
          </w:tcPr>
          <w:p w14:paraId="4BC7ADA3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4" w:name="_Hlk51789993"/>
          </w:p>
        </w:tc>
        <w:tc>
          <w:tcPr>
            <w:tcW w:w="6570" w:type="dxa"/>
            <w:shd w:val="clear" w:color="auto" w:fill="365F91"/>
          </w:tcPr>
          <w:p w14:paraId="4BC7ADA4" w14:textId="77777777" w:rsidR="00B37FC9" w:rsidRPr="00155294" w:rsidRDefault="00D17875" w:rsidP="00903B20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Qu</w:t>
            </w:r>
            <w:r w:rsidR="00903B20"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estions</w:t>
            </w:r>
          </w:p>
        </w:tc>
        <w:tc>
          <w:tcPr>
            <w:tcW w:w="7650" w:type="dxa"/>
            <w:shd w:val="clear" w:color="auto" w:fill="365F91"/>
          </w:tcPr>
          <w:p w14:paraId="4BC7ADA5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bookmarkEnd w:id="4"/>
      <w:tr w:rsidR="00B37FC9" w:rsidRPr="00155294" w14:paraId="4BC7ADAA" w14:textId="77777777" w:rsidTr="00FE6EE5">
        <w:trPr>
          <w:trHeight w:val="864"/>
        </w:trPr>
        <w:tc>
          <w:tcPr>
            <w:tcW w:w="360" w:type="dxa"/>
          </w:tcPr>
          <w:p w14:paraId="4BC7ADA7" w14:textId="77777777" w:rsidR="00B37FC9" w:rsidRPr="00155294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4BC7ADA8" w14:textId="4E2969C4" w:rsidR="006F14B0" w:rsidRPr="00155294" w:rsidRDefault="008721C6" w:rsidP="002D2C87">
            <w:pPr>
              <w:keepNext/>
              <w:spacing w:before="120" w:after="20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155294">
              <w:rPr>
                <w:rFonts w:ascii="Arial" w:hAnsi="Arial" w:cs="Arial"/>
                <w:sz w:val="20"/>
                <w:szCs w:val="20"/>
              </w:rPr>
              <w:t xml:space="preserve">Please comment on </w:t>
            </w:r>
            <w:r w:rsidR="005F0AFC" w:rsidRPr="00155294">
              <w:rPr>
                <w:rFonts w:ascii="Arial" w:hAnsi="Arial" w:cs="Arial"/>
                <w:sz w:val="20"/>
                <w:szCs w:val="20"/>
              </w:rPr>
              <w:t xml:space="preserve">Session </w:t>
            </w:r>
            <w:r w:rsidR="00F54258" w:rsidRPr="00155294">
              <w:rPr>
                <w:rFonts w:ascii="Arial" w:hAnsi="Arial" w:cs="Arial"/>
                <w:sz w:val="20"/>
                <w:szCs w:val="20"/>
              </w:rPr>
              <w:t>4</w:t>
            </w:r>
            <w:r w:rsidR="00BA74BE" w:rsidRPr="001552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EE5" w:rsidRPr="00155294">
              <w:rPr>
                <w:rFonts w:ascii="Arial" w:hAnsi="Arial" w:cs="Arial"/>
                <w:sz w:val="20"/>
                <w:szCs w:val="20"/>
              </w:rPr>
              <w:t xml:space="preserve">hosted </w:t>
            </w:r>
            <w:r w:rsidR="005F0AFC" w:rsidRPr="00155294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F54258" w:rsidRPr="00155294">
              <w:rPr>
                <w:rFonts w:ascii="Arial" w:hAnsi="Arial" w:cs="Arial"/>
                <w:sz w:val="20"/>
                <w:szCs w:val="20"/>
              </w:rPr>
              <w:t>Dec. 10, 2020</w:t>
            </w:r>
            <w:r w:rsidR="00EF770B" w:rsidRPr="00155294">
              <w:rPr>
                <w:rFonts w:ascii="Arial" w:hAnsi="Arial" w:cs="Arial"/>
                <w:sz w:val="20"/>
                <w:szCs w:val="20"/>
              </w:rPr>
              <w:t>.</w:t>
            </w:r>
            <w:r w:rsidR="003F560A" w:rsidRPr="001552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AFC" w:rsidRPr="00155294">
              <w:rPr>
                <w:rFonts w:ascii="Arial" w:hAnsi="Arial" w:cs="Arial"/>
                <w:sz w:val="20"/>
                <w:szCs w:val="20"/>
              </w:rPr>
              <w:t xml:space="preserve">Was the session valuable? Was there something </w:t>
            </w:r>
            <w:r w:rsidR="00FE6EE5" w:rsidRPr="00155294">
              <w:rPr>
                <w:rFonts w:ascii="Arial" w:hAnsi="Arial" w:cs="Arial"/>
                <w:sz w:val="20"/>
                <w:szCs w:val="20"/>
              </w:rPr>
              <w:t>the AESO</w:t>
            </w:r>
            <w:r w:rsidR="005F0AFC" w:rsidRPr="00155294">
              <w:rPr>
                <w:rFonts w:ascii="Arial" w:hAnsi="Arial" w:cs="Arial"/>
                <w:sz w:val="20"/>
                <w:szCs w:val="20"/>
              </w:rPr>
              <w:t xml:space="preserve"> could have done to make the session more helpful? </w:t>
            </w:r>
          </w:p>
        </w:tc>
        <w:tc>
          <w:tcPr>
            <w:tcW w:w="7650" w:type="dxa"/>
            <w:shd w:val="clear" w:color="auto" w:fill="auto"/>
          </w:tcPr>
          <w:p w14:paraId="4BC7ADA9" w14:textId="77777777" w:rsidR="00B37FC9" w:rsidRPr="00155294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E10" w:rsidRPr="00155294" w14:paraId="023CF27A" w14:textId="77777777" w:rsidTr="00FE6EE5">
        <w:trPr>
          <w:trHeight w:val="864"/>
        </w:trPr>
        <w:tc>
          <w:tcPr>
            <w:tcW w:w="360" w:type="dxa"/>
          </w:tcPr>
          <w:p w14:paraId="05BEEB35" w14:textId="77777777" w:rsidR="009A3E10" w:rsidRPr="00155294" w:rsidRDefault="009A3E10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0851F57F" w14:textId="6DF8C396" w:rsidR="009A3E10" w:rsidRPr="00155294" w:rsidRDefault="00F52120" w:rsidP="002D2C87">
            <w:pPr>
              <w:keepNext/>
              <w:spacing w:before="120" w:after="20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155294">
              <w:rPr>
                <w:rFonts w:ascii="Arial" w:hAnsi="Arial" w:cs="Arial"/>
                <w:sz w:val="20"/>
                <w:szCs w:val="20"/>
              </w:rPr>
              <w:t xml:space="preserve">Do you have a </w:t>
            </w:r>
            <w:r w:rsidR="00B10504">
              <w:rPr>
                <w:rFonts w:ascii="Arial" w:hAnsi="Arial" w:cs="Arial"/>
                <w:sz w:val="20"/>
                <w:szCs w:val="20"/>
              </w:rPr>
              <w:t>view on whether an</w:t>
            </w:r>
            <w:r w:rsidRPr="00155294">
              <w:rPr>
                <w:rFonts w:ascii="Arial" w:hAnsi="Arial" w:cs="Arial"/>
                <w:sz w:val="20"/>
                <w:szCs w:val="20"/>
              </w:rPr>
              <w:t xml:space="preserve"> embedded or marginal cost allocation</w:t>
            </w:r>
            <w:r w:rsidR="00B10504">
              <w:rPr>
                <w:rFonts w:ascii="Arial" w:hAnsi="Arial" w:cs="Arial"/>
                <w:sz w:val="20"/>
                <w:szCs w:val="20"/>
              </w:rPr>
              <w:t xml:space="preserve"> approach will more appropriately meet the AESO’s rate design objectives</w:t>
            </w:r>
            <w:r w:rsidRPr="00155294">
              <w:rPr>
                <w:rFonts w:ascii="Arial" w:hAnsi="Arial" w:cs="Arial"/>
                <w:sz w:val="20"/>
                <w:szCs w:val="20"/>
              </w:rPr>
              <w:t>? Why?</w:t>
            </w:r>
          </w:p>
        </w:tc>
        <w:tc>
          <w:tcPr>
            <w:tcW w:w="7650" w:type="dxa"/>
            <w:shd w:val="clear" w:color="auto" w:fill="auto"/>
          </w:tcPr>
          <w:p w14:paraId="4B43C72D" w14:textId="77777777" w:rsidR="009A3E10" w:rsidRPr="00155294" w:rsidRDefault="009A3E10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E10" w:rsidRPr="00BC502D" w14:paraId="5CED3D65" w14:textId="77777777" w:rsidTr="00FE6EE5">
        <w:trPr>
          <w:trHeight w:val="864"/>
        </w:trPr>
        <w:tc>
          <w:tcPr>
            <w:tcW w:w="360" w:type="dxa"/>
          </w:tcPr>
          <w:p w14:paraId="73A52FF3" w14:textId="77777777" w:rsidR="009A3E10" w:rsidRPr="00155294" w:rsidRDefault="009A3E10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7AFDFA42" w14:textId="0BFFA84C" w:rsidR="0090448D" w:rsidRPr="00954FD0" w:rsidRDefault="0090448D" w:rsidP="00954FD0">
            <w:pPr>
              <w:pStyle w:val="ListParagraph"/>
              <w:keepNext/>
              <w:numPr>
                <w:ilvl w:val="0"/>
                <w:numId w:val="28"/>
              </w:numPr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954FD0">
              <w:rPr>
                <w:rFonts w:ascii="Arial" w:hAnsi="Arial" w:cs="Arial"/>
                <w:sz w:val="20"/>
                <w:szCs w:val="20"/>
              </w:rPr>
              <w:t xml:space="preserve">Do you </w:t>
            </w:r>
            <w:proofErr w:type="gramStart"/>
            <w:r w:rsidRPr="00954FD0">
              <w:rPr>
                <w:rFonts w:ascii="Arial" w:hAnsi="Arial" w:cs="Arial"/>
                <w:sz w:val="20"/>
                <w:szCs w:val="20"/>
              </w:rPr>
              <w:t>have a preference for</w:t>
            </w:r>
            <w:proofErr w:type="gramEnd"/>
            <w:r w:rsidRPr="00954FD0">
              <w:rPr>
                <w:rFonts w:ascii="Arial" w:hAnsi="Arial" w:cs="Arial"/>
                <w:sz w:val="20"/>
                <w:szCs w:val="20"/>
              </w:rPr>
              <w:t xml:space="preserve"> any of the mitigation options</w:t>
            </w:r>
            <w:r w:rsidR="00954FD0" w:rsidRPr="00954FD0">
              <w:rPr>
                <w:rFonts w:ascii="Arial" w:hAnsi="Arial" w:cs="Arial"/>
                <w:sz w:val="20"/>
                <w:szCs w:val="20"/>
              </w:rPr>
              <w:t xml:space="preserve"> presented</w:t>
            </w:r>
            <w:r w:rsidR="00BC6B1C">
              <w:rPr>
                <w:rFonts w:ascii="Arial" w:hAnsi="Arial" w:cs="Arial"/>
                <w:sz w:val="20"/>
                <w:szCs w:val="20"/>
              </w:rPr>
              <w:t xml:space="preserve"> at Session 4</w:t>
            </w:r>
            <w:r w:rsidRPr="00954FD0">
              <w:rPr>
                <w:rFonts w:ascii="Arial" w:hAnsi="Arial" w:cs="Arial"/>
                <w:sz w:val="20"/>
                <w:szCs w:val="20"/>
              </w:rPr>
              <w:t>? Why</w:t>
            </w:r>
            <w:r w:rsidR="00F52120" w:rsidRPr="00954FD0">
              <w:rPr>
                <w:rFonts w:ascii="Arial" w:hAnsi="Arial" w:cs="Arial"/>
                <w:sz w:val="20"/>
                <w:szCs w:val="20"/>
              </w:rPr>
              <w:t xml:space="preserve"> or why not</w:t>
            </w:r>
            <w:r w:rsidRPr="00954FD0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786718A" w14:textId="6A76D3D9" w:rsidR="00954FD0" w:rsidRPr="00954FD0" w:rsidRDefault="00954FD0" w:rsidP="00954FD0">
            <w:pPr>
              <w:pStyle w:val="ListParagraph"/>
              <w:keepNext/>
              <w:numPr>
                <w:ilvl w:val="0"/>
                <w:numId w:val="28"/>
              </w:numPr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954FD0">
              <w:rPr>
                <w:rFonts w:ascii="Arial" w:hAnsi="Arial" w:cs="Arial"/>
                <w:sz w:val="20"/>
                <w:szCs w:val="20"/>
              </w:rPr>
              <w:t xml:space="preserve">Do you know of any additional mitigation options that have worked in other contexts and might be applicable </w:t>
            </w:r>
            <w:proofErr w:type="gramStart"/>
            <w:r w:rsidRPr="00954FD0">
              <w:rPr>
                <w:rFonts w:ascii="Arial" w:hAnsi="Arial" w:cs="Arial"/>
                <w:sz w:val="20"/>
                <w:szCs w:val="20"/>
              </w:rPr>
              <w:t>here.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Please specify.</w:t>
            </w:r>
          </w:p>
          <w:p w14:paraId="232D76AA" w14:textId="016C6D08" w:rsidR="009A3E10" w:rsidRPr="00954FD0" w:rsidRDefault="009A3E10" w:rsidP="002D2C87">
            <w:pPr>
              <w:pStyle w:val="ListParagraph"/>
              <w:keepNext/>
              <w:numPr>
                <w:ilvl w:val="0"/>
                <w:numId w:val="28"/>
              </w:numPr>
              <w:spacing w:before="120" w:after="200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954FD0">
              <w:rPr>
                <w:rFonts w:ascii="Arial" w:hAnsi="Arial" w:cs="Arial"/>
                <w:sz w:val="20"/>
                <w:szCs w:val="20"/>
              </w:rPr>
              <w:t xml:space="preserve">What do you think the AESO’s needs to </w:t>
            </w:r>
            <w:proofErr w:type="spellStart"/>
            <w:r w:rsidRPr="00954FD0">
              <w:rPr>
                <w:rFonts w:ascii="Arial" w:hAnsi="Arial" w:cs="Arial"/>
                <w:sz w:val="20"/>
                <w:szCs w:val="20"/>
              </w:rPr>
              <w:t>acheve</w:t>
            </w:r>
            <w:proofErr w:type="spellEnd"/>
            <w:r w:rsidRPr="00954FD0">
              <w:rPr>
                <w:rFonts w:ascii="Arial" w:hAnsi="Arial" w:cs="Arial"/>
                <w:sz w:val="20"/>
                <w:szCs w:val="20"/>
              </w:rPr>
              <w:t xml:space="preserve"> with its mitigation</w:t>
            </w:r>
            <w:r w:rsidR="0090448D" w:rsidRPr="00954FD0">
              <w:rPr>
                <w:rFonts w:ascii="Arial" w:hAnsi="Arial" w:cs="Arial"/>
                <w:sz w:val="20"/>
                <w:szCs w:val="20"/>
              </w:rPr>
              <w:t>(</w:t>
            </w:r>
            <w:r w:rsidRPr="00954FD0">
              <w:rPr>
                <w:rFonts w:ascii="Arial" w:hAnsi="Arial" w:cs="Arial"/>
                <w:sz w:val="20"/>
                <w:szCs w:val="20"/>
              </w:rPr>
              <w:t>s)? Why?</w:t>
            </w:r>
          </w:p>
        </w:tc>
        <w:tc>
          <w:tcPr>
            <w:tcW w:w="7650" w:type="dxa"/>
            <w:shd w:val="clear" w:color="auto" w:fill="auto"/>
          </w:tcPr>
          <w:p w14:paraId="222E1520" w14:textId="77777777" w:rsidR="009A3E10" w:rsidRPr="00DC7D20" w:rsidRDefault="009A3E10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BC" w14:textId="2859AA78" w:rsidR="00CB5BA6" w:rsidRPr="006B717A" w:rsidRDefault="00CB5BA6" w:rsidP="00297F48">
      <w:pPr>
        <w:ind w:left="-630"/>
        <w:rPr>
          <w:rFonts w:ascii="Arial" w:hAnsi="Arial" w:cs="Arial"/>
          <w:sz w:val="20"/>
          <w:szCs w:val="20"/>
        </w:rPr>
      </w:pPr>
    </w:p>
    <w:p w14:paraId="012A111B" w14:textId="45DEE7F0" w:rsidR="006C7D45" w:rsidRPr="006B717A" w:rsidRDefault="006C7D45">
      <w:pPr>
        <w:rPr>
          <w:rFonts w:ascii="Arial" w:hAnsi="Arial" w:cs="Arial"/>
          <w:sz w:val="20"/>
          <w:szCs w:val="20"/>
        </w:rPr>
      </w:pPr>
      <w:r w:rsidRPr="006B717A">
        <w:rPr>
          <w:rFonts w:ascii="Arial" w:hAnsi="Arial" w:cs="Arial"/>
          <w:sz w:val="20"/>
          <w:szCs w:val="20"/>
        </w:rPr>
        <w:br w:type="page"/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70"/>
        <w:gridCol w:w="7650"/>
      </w:tblGrid>
      <w:tr w:rsidR="006C7D45" w:rsidRPr="006B717A" w14:paraId="1EF0D6CC" w14:textId="77777777" w:rsidTr="004607E4">
        <w:tc>
          <w:tcPr>
            <w:tcW w:w="360" w:type="dxa"/>
            <w:shd w:val="clear" w:color="auto" w:fill="365F91"/>
          </w:tcPr>
          <w:p w14:paraId="3D546F74" w14:textId="77777777" w:rsidR="006C7D45" w:rsidRPr="006B717A" w:rsidRDefault="006C7D45" w:rsidP="00C3319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365F91"/>
          </w:tcPr>
          <w:p w14:paraId="6B4491D3" w14:textId="77777777" w:rsidR="006C7D45" w:rsidRPr="006B717A" w:rsidRDefault="006C7D45" w:rsidP="00C3319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650" w:type="dxa"/>
            <w:shd w:val="clear" w:color="auto" w:fill="365F91"/>
          </w:tcPr>
          <w:p w14:paraId="409B3FF1" w14:textId="77777777" w:rsidR="006C7D45" w:rsidRPr="006B717A" w:rsidRDefault="006C7D45" w:rsidP="00C3319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9A3E10" w:rsidRPr="00BC502D" w14:paraId="6DB4DBE8" w14:textId="77777777" w:rsidTr="004607E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C88D" w14:textId="77777777" w:rsidR="009A3E10" w:rsidRPr="009A3E10" w:rsidRDefault="009A3E10" w:rsidP="00EB454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C6F3" w14:textId="0584CDB1" w:rsidR="009A3E10" w:rsidRPr="00155294" w:rsidRDefault="009A3E10" w:rsidP="009A3E10">
            <w:pPr>
              <w:keepNext/>
              <w:spacing w:before="40" w:after="40"/>
              <w:ind w:left="115"/>
              <w:rPr>
                <w:rFonts w:ascii="Arial" w:hAnsi="Arial" w:cs="Arial"/>
                <w:bCs/>
                <w:sz w:val="20"/>
                <w:szCs w:val="20"/>
              </w:rPr>
            </w:pPr>
            <w:r w:rsidRPr="00155294">
              <w:rPr>
                <w:rFonts w:ascii="Arial" w:hAnsi="Arial" w:cs="Arial"/>
                <w:bCs/>
                <w:sz w:val="20"/>
                <w:szCs w:val="20"/>
              </w:rPr>
              <w:t>Are you supportive of the areas of agreement presented at Session 4? Why or why not? The areas of agreement</w:t>
            </w:r>
            <w:r w:rsidR="00F52120" w:rsidRPr="00155294">
              <w:rPr>
                <w:rFonts w:ascii="Arial" w:hAnsi="Arial" w:cs="Arial"/>
                <w:bCs/>
                <w:sz w:val="20"/>
                <w:szCs w:val="20"/>
              </w:rPr>
              <w:t xml:space="preserve"> presented</w:t>
            </w:r>
            <w:r w:rsidR="00155294">
              <w:rPr>
                <w:rFonts w:ascii="Arial" w:hAnsi="Arial" w:cs="Arial"/>
                <w:bCs/>
                <w:sz w:val="20"/>
                <w:szCs w:val="20"/>
              </w:rPr>
              <w:t xml:space="preserve"> include:</w:t>
            </w:r>
          </w:p>
          <w:p w14:paraId="3FE9CF54" w14:textId="77777777" w:rsidR="009A3E10" w:rsidRPr="00155294" w:rsidRDefault="009A3E10" w:rsidP="009A3E10">
            <w:pPr>
              <w:keepNext/>
              <w:spacing w:before="40" w:after="40"/>
              <w:ind w:left="11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9B0B3A" w14:textId="77777777" w:rsidR="009A3E10" w:rsidRPr="006B717A" w:rsidRDefault="009A3E10" w:rsidP="009A3E10">
            <w:pPr>
              <w:keepNext/>
              <w:spacing w:before="40" w:after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sz w:val="20"/>
                <w:szCs w:val="20"/>
              </w:rPr>
              <w:t>Efficient Price Signals</w:t>
            </w:r>
          </w:p>
          <w:p w14:paraId="6F0AB7FD" w14:textId="77777777" w:rsidR="009A3E10" w:rsidRPr="006B717A" w:rsidRDefault="009A3E10" w:rsidP="009A3E10">
            <w:pPr>
              <w:pStyle w:val="ListParagraph"/>
              <w:keepNext/>
              <w:numPr>
                <w:ilvl w:val="0"/>
                <w:numId w:val="22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Price signals matter</w:t>
            </w:r>
          </w:p>
          <w:p w14:paraId="094151EF" w14:textId="77777777" w:rsidR="009A3E10" w:rsidRPr="006B717A" w:rsidRDefault="009A3E10" w:rsidP="002D2C87">
            <w:pPr>
              <w:pStyle w:val="ListParagraph"/>
              <w:keepNext/>
              <w:numPr>
                <w:ilvl w:val="1"/>
                <w:numId w:val="22"/>
              </w:numPr>
              <w:spacing w:before="4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Tariff charges provide incentives for customer behavior</w:t>
            </w:r>
          </w:p>
          <w:p w14:paraId="29F0FC64" w14:textId="77777777" w:rsidR="009A3E10" w:rsidRPr="006B717A" w:rsidRDefault="009A3E10" w:rsidP="009A3E10">
            <w:pPr>
              <w:keepNext/>
              <w:spacing w:before="40" w:after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sz w:val="20"/>
                <w:szCs w:val="20"/>
              </w:rPr>
              <w:t>Cost Responsibility</w:t>
            </w:r>
          </w:p>
          <w:p w14:paraId="1D0F5582" w14:textId="77777777" w:rsidR="009A3E10" w:rsidRPr="006B717A" w:rsidRDefault="009A3E10" w:rsidP="009A3E10">
            <w:pPr>
              <w:pStyle w:val="ListParagraph"/>
              <w:keepNext/>
              <w:numPr>
                <w:ilvl w:val="0"/>
                <w:numId w:val="22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Recognize that more than just load behavior drives transmission development</w:t>
            </w:r>
          </w:p>
          <w:p w14:paraId="70501325" w14:textId="77777777" w:rsidR="009A3E10" w:rsidRPr="006B717A" w:rsidRDefault="009A3E10" w:rsidP="009A3E10">
            <w:pPr>
              <w:pStyle w:val="ListParagraph"/>
              <w:keepNext/>
              <w:numPr>
                <w:ilvl w:val="0"/>
                <w:numId w:val="22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We are dealing with an evolving system </w:t>
            </w:r>
          </w:p>
          <w:p w14:paraId="4AFB781D" w14:textId="77777777" w:rsidR="009A3E10" w:rsidRPr="006B717A" w:rsidRDefault="009A3E10" w:rsidP="002D2C87">
            <w:pPr>
              <w:pStyle w:val="ListParagraph"/>
              <w:keepNext/>
              <w:numPr>
                <w:ilvl w:val="1"/>
                <w:numId w:val="22"/>
              </w:numPr>
              <w:spacing w:before="4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Current and future use may differ from what was that originally planned</w:t>
            </w:r>
          </w:p>
          <w:p w14:paraId="2C3BCC2D" w14:textId="77777777" w:rsidR="009A3E10" w:rsidRPr="006B717A" w:rsidRDefault="009A3E10" w:rsidP="009A3E10">
            <w:pPr>
              <w:keepNext/>
              <w:spacing w:before="40" w:after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sz w:val="20"/>
                <w:szCs w:val="20"/>
              </w:rPr>
              <w:t>Minimal Disruption</w:t>
            </w:r>
          </w:p>
          <w:p w14:paraId="0D149372" w14:textId="77777777" w:rsidR="009A3E10" w:rsidRPr="006B717A" w:rsidRDefault="009A3E10" w:rsidP="009A3E10">
            <w:pPr>
              <w:pStyle w:val="ListParagraph"/>
              <w:keepNext/>
              <w:numPr>
                <w:ilvl w:val="0"/>
                <w:numId w:val="23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Transmission costs have risen</w:t>
            </w:r>
          </w:p>
          <w:p w14:paraId="69693F9F" w14:textId="77777777" w:rsidR="009A3E10" w:rsidRPr="006B717A" w:rsidRDefault="009A3E10" w:rsidP="009A3E10">
            <w:pPr>
              <w:pStyle w:val="ListParagraph"/>
              <w:keepNext/>
              <w:numPr>
                <w:ilvl w:val="1"/>
                <w:numId w:val="23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Tariff charges are more important now than ever before</w:t>
            </w:r>
          </w:p>
          <w:p w14:paraId="05BAB458" w14:textId="77777777" w:rsidR="009A3E10" w:rsidRPr="006B717A" w:rsidRDefault="009A3E10" w:rsidP="009A3E10">
            <w:pPr>
              <w:pStyle w:val="ListParagraph"/>
              <w:keepNext/>
              <w:numPr>
                <w:ilvl w:val="0"/>
                <w:numId w:val="23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Minimize disruption, mitigate rate shock</w:t>
            </w:r>
          </w:p>
          <w:p w14:paraId="2368508A" w14:textId="66A557ED" w:rsidR="009A3E10" w:rsidRPr="009A3E10" w:rsidRDefault="009A3E10" w:rsidP="002D2C87">
            <w:pPr>
              <w:pStyle w:val="ListParagraph"/>
              <w:keepNext/>
              <w:numPr>
                <w:ilvl w:val="1"/>
                <w:numId w:val="23"/>
              </w:numPr>
              <w:spacing w:before="40" w:after="20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>It is not in anyone’s interest to reduce the number of ratepayers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8623" w14:textId="77777777" w:rsidR="009A3E10" w:rsidRPr="009A3E10" w:rsidRDefault="009A3E10" w:rsidP="009A3E10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717A" w:rsidRPr="006C7D45" w:rsidDel="007D7FA8" w14:paraId="429678E5" w14:textId="77777777" w:rsidTr="004607E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D22C" w14:textId="77777777" w:rsidR="006B717A" w:rsidRPr="006B717A" w:rsidDel="007D7FA8" w:rsidRDefault="006B717A" w:rsidP="00C33192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6A46" w14:textId="5C701F04" w:rsidR="009A3E10" w:rsidRPr="006B717A" w:rsidRDefault="009A3E10" w:rsidP="00F52120">
            <w:pPr>
              <w:keepNext/>
              <w:spacing w:before="40" w:after="40"/>
              <w:ind w:left="115"/>
              <w:rPr>
                <w:rFonts w:ascii="Arial" w:hAnsi="Arial" w:cs="Arial"/>
                <w:bCs/>
                <w:sz w:val="20"/>
                <w:szCs w:val="20"/>
              </w:rPr>
            </w:pPr>
            <w:r w:rsidRPr="00155294">
              <w:rPr>
                <w:rFonts w:ascii="Arial" w:hAnsi="Arial" w:cs="Arial"/>
                <w:bCs/>
                <w:sz w:val="20"/>
                <w:szCs w:val="20"/>
              </w:rPr>
              <w:t>Are you supportive of the areas of disagreement presented at Session 4? Why or why not? The areas of disagreement</w:t>
            </w:r>
            <w:r w:rsidR="00F52120" w:rsidRPr="00155294">
              <w:rPr>
                <w:rFonts w:ascii="Arial" w:hAnsi="Arial" w:cs="Arial"/>
                <w:bCs/>
                <w:sz w:val="20"/>
                <w:szCs w:val="20"/>
              </w:rPr>
              <w:t xml:space="preserve"> presented</w:t>
            </w:r>
            <w:r w:rsidR="00155294">
              <w:rPr>
                <w:rFonts w:ascii="Arial" w:hAnsi="Arial" w:cs="Arial"/>
                <w:bCs/>
                <w:sz w:val="20"/>
                <w:szCs w:val="20"/>
              </w:rPr>
              <w:t xml:space="preserve"> include:</w:t>
            </w:r>
          </w:p>
          <w:p w14:paraId="6E6C9504" w14:textId="77777777" w:rsidR="009A3E10" w:rsidRDefault="009A3E10" w:rsidP="006B717A">
            <w:pPr>
              <w:keepNext/>
              <w:spacing w:before="40" w:after="40"/>
              <w:ind w:left="11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099A4" w14:textId="4ECECBC8" w:rsidR="006B717A" w:rsidRPr="006B717A" w:rsidRDefault="006B717A" w:rsidP="006B717A">
            <w:pPr>
              <w:keepNext/>
              <w:spacing w:before="40" w:after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sz w:val="20"/>
                <w:szCs w:val="20"/>
              </w:rPr>
              <w:t>Efficient Price Signals</w:t>
            </w:r>
          </w:p>
          <w:p w14:paraId="24E3098A" w14:textId="1411FAA7" w:rsidR="006B717A" w:rsidRPr="006B717A" w:rsidRDefault="00F30B6A" w:rsidP="006B717A">
            <w:pPr>
              <w:pStyle w:val="ListParagraph"/>
              <w:keepNext/>
              <w:numPr>
                <w:ilvl w:val="0"/>
                <w:numId w:val="24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Are s</w:t>
            </w:r>
            <w:r w:rsidR="006B717A" w:rsidRPr="006B717A">
              <w:rPr>
                <w:rFonts w:ascii="Arial" w:hAnsi="Arial" w:cs="Arial"/>
                <w:bCs/>
                <w:sz w:val="20"/>
                <w:szCs w:val="20"/>
              </w:rPr>
              <w:t xml:space="preserve">tatus quo price signals </w:t>
            </w:r>
            <w:proofErr w:type="gramStart"/>
            <w:r w:rsidR="006B717A" w:rsidRPr="006B717A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proofErr w:type="gramEnd"/>
            <w:r w:rsidR="006B717A" w:rsidRPr="006B717A">
              <w:rPr>
                <w:rFonts w:ascii="Arial" w:hAnsi="Arial" w:cs="Arial"/>
                <w:bCs/>
                <w:sz w:val="20"/>
                <w:szCs w:val="20"/>
              </w:rPr>
              <w:t xml:space="preserve"> efficient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="006B717A" w:rsidRPr="006B71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4F1A868" w14:textId="77777777" w:rsidR="006B717A" w:rsidRPr="006B717A" w:rsidRDefault="006B717A" w:rsidP="006B717A">
            <w:pPr>
              <w:pStyle w:val="ListParagraph"/>
              <w:keepNext/>
              <w:numPr>
                <w:ilvl w:val="1"/>
                <w:numId w:val="24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 xml:space="preserve">Price signals in tariff have reduced the cost of energy to </w:t>
            </w:r>
            <w:proofErr w:type="gramStart"/>
            <w:r w:rsidRPr="006B717A"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proofErr w:type="gramEnd"/>
            <w:r w:rsidRPr="006B717A">
              <w:rPr>
                <w:rFonts w:ascii="Arial" w:hAnsi="Arial" w:cs="Arial"/>
                <w:bCs/>
                <w:sz w:val="20"/>
                <w:szCs w:val="20"/>
              </w:rPr>
              <w:t xml:space="preserve"> load </w:t>
            </w:r>
          </w:p>
          <w:p w14:paraId="35D67D3E" w14:textId="4C0E6DDE" w:rsidR="006B717A" w:rsidRPr="006B717A" w:rsidRDefault="00F30B6A" w:rsidP="006B717A">
            <w:pPr>
              <w:pStyle w:val="ListParagraph"/>
              <w:keepNext/>
              <w:numPr>
                <w:ilvl w:val="0"/>
                <w:numId w:val="24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Are p</w:t>
            </w:r>
            <w:r w:rsidR="006B717A" w:rsidRPr="006B717A">
              <w:rPr>
                <w:rFonts w:ascii="Arial" w:hAnsi="Arial" w:cs="Arial"/>
                <w:bCs/>
                <w:sz w:val="20"/>
                <w:szCs w:val="20"/>
              </w:rPr>
              <w:t>rice signals forward looking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008F76BD" w14:textId="77777777" w:rsidR="006B717A" w:rsidRPr="006B717A" w:rsidRDefault="006B717A" w:rsidP="002D2C87">
            <w:pPr>
              <w:pStyle w:val="ListParagraph"/>
              <w:keepNext/>
              <w:numPr>
                <w:ilvl w:val="1"/>
                <w:numId w:val="24"/>
              </w:numPr>
              <w:spacing w:before="4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Price signals are efficient to the extent changes in customer behavior reduce the need for future transmission costs</w:t>
            </w:r>
          </w:p>
          <w:p w14:paraId="1ACAE184" w14:textId="77777777" w:rsidR="006B717A" w:rsidRPr="006B717A" w:rsidRDefault="006B717A" w:rsidP="006B717A">
            <w:pPr>
              <w:keepNext/>
              <w:spacing w:before="40" w:after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sz w:val="20"/>
                <w:szCs w:val="20"/>
              </w:rPr>
              <w:t>Cost Responsibility</w:t>
            </w:r>
          </w:p>
          <w:p w14:paraId="743A48E9" w14:textId="77777777" w:rsidR="006B717A" w:rsidRPr="006B717A" w:rsidRDefault="006B717A" w:rsidP="006B717A">
            <w:pPr>
              <w:pStyle w:val="ListParagraph"/>
              <w:keepNext/>
              <w:numPr>
                <w:ilvl w:val="0"/>
                <w:numId w:val="25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Is the primary objective cost causation, or cost responsibility?</w:t>
            </w:r>
          </w:p>
          <w:p w14:paraId="7B0C14AE" w14:textId="77777777" w:rsidR="006B717A" w:rsidRPr="006B717A" w:rsidRDefault="006B717A" w:rsidP="002D2C87">
            <w:pPr>
              <w:pStyle w:val="ListParagraph"/>
              <w:keepNext/>
              <w:numPr>
                <w:ilvl w:val="0"/>
                <w:numId w:val="25"/>
              </w:numPr>
              <w:spacing w:before="4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 xml:space="preserve">Does the initial rate design still achieve goal of cost causation since transmission costs have risen and load </w:t>
            </w:r>
            <w:proofErr w:type="spellStart"/>
            <w:r w:rsidRPr="006B717A">
              <w:rPr>
                <w:rFonts w:ascii="Arial" w:hAnsi="Arial" w:cs="Arial"/>
                <w:bCs/>
                <w:sz w:val="20"/>
                <w:szCs w:val="20"/>
              </w:rPr>
              <w:t>behaviour</w:t>
            </w:r>
            <w:proofErr w:type="spellEnd"/>
            <w:r w:rsidRPr="006B717A">
              <w:rPr>
                <w:rFonts w:ascii="Arial" w:hAnsi="Arial" w:cs="Arial"/>
                <w:bCs/>
                <w:sz w:val="20"/>
                <w:szCs w:val="20"/>
              </w:rPr>
              <w:t xml:space="preserve"> has not influenced those costs?</w:t>
            </w:r>
          </w:p>
          <w:p w14:paraId="19824D60" w14:textId="77777777" w:rsidR="006B717A" w:rsidRPr="006B717A" w:rsidRDefault="006B717A" w:rsidP="006B717A">
            <w:pPr>
              <w:keepNext/>
              <w:spacing w:before="40" w:after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sz w:val="20"/>
                <w:szCs w:val="20"/>
              </w:rPr>
              <w:t>Minimal Disruption</w:t>
            </w:r>
          </w:p>
          <w:p w14:paraId="36DF2096" w14:textId="77777777" w:rsidR="006B717A" w:rsidRPr="006B717A" w:rsidRDefault="006B717A" w:rsidP="006B717A">
            <w:pPr>
              <w:pStyle w:val="ListParagraph"/>
              <w:keepNext/>
              <w:numPr>
                <w:ilvl w:val="0"/>
                <w:numId w:val="26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Now is not the time for change or time to stop the bleeding?</w:t>
            </w:r>
          </w:p>
          <w:p w14:paraId="28F1E3A0" w14:textId="77777777" w:rsidR="006B717A" w:rsidRPr="006B717A" w:rsidRDefault="006B717A" w:rsidP="006B717A">
            <w:pPr>
              <w:pStyle w:val="ListParagraph"/>
              <w:keepNext/>
              <w:numPr>
                <w:ilvl w:val="1"/>
                <w:numId w:val="26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 xml:space="preserve">Economic climate, policy uncertainty, change impacts a few very negatively and many slightly positively </w:t>
            </w:r>
          </w:p>
          <w:p w14:paraId="42139277" w14:textId="62B62F63" w:rsidR="006B717A" w:rsidRPr="006B717A" w:rsidRDefault="006B717A" w:rsidP="002D2C87">
            <w:pPr>
              <w:pStyle w:val="ListParagraph"/>
              <w:keepNext/>
              <w:numPr>
                <w:ilvl w:val="0"/>
                <w:numId w:val="26"/>
              </w:numPr>
              <w:spacing w:before="40" w:after="200"/>
              <w:rPr>
                <w:rFonts w:ascii="Arial" w:hAnsi="Arial" w:cs="Arial"/>
                <w:bCs/>
                <w:sz w:val="20"/>
                <w:szCs w:val="20"/>
              </w:rPr>
            </w:pPr>
            <w:r w:rsidRPr="006B717A">
              <w:rPr>
                <w:rFonts w:ascii="Arial" w:hAnsi="Arial" w:cs="Arial"/>
                <w:bCs/>
                <w:sz w:val="20"/>
                <w:szCs w:val="20"/>
              </w:rPr>
              <w:t>Does rate mitigation need to be permanent or will customers adapt if temporary?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A6B7" w14:textId="77777777" w:rsidR="006B717A" w:rsidRPr="006C7D45" w:rsidDel="007D7FA8" w:rsidRDefault="006B717A" w:rsidP="006C7D45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7D45" w:rsidRPr="006C7D45" w:rsidDel="007D7FA8" w14:paraId="716D982D" w14:textId="77777777" w:rsidTr="004607E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9D5E" w14:textId="77777777" w:rsidR="006C7D45" w:rsidRPr="006C7D45" w:rsidDel="007D7FA8" w:rsidRDefault="006C7D45" w:rsidP="004607E4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523" w14:textId="5499C8D1" w:rsidR="008B2334" w:rsidRPr="006C7D45" w:rsidDel="007D7FA8" w:rsidRDefault="00F54258" w:rsidP="002D2C87">
            <w:pPr>
              <w:keepNext/>
              <w:spacing w:before="120" w:after="200"/>
              <w:ind w:left="115"/>
              <w:rPr>
                <w:rFonts w:ascii="Arial" w:hAnsi="Arial" w:cs="Arial"/>
                <w:bCs/>
                <w:sz w:val="20"/>
                <w:szCs w:val="20"/>
              </w:rPr>
            </w:pPr>
            <w:r w:rsidRPr="00361CB1">
              <w:rPr>
                <w:rFonts w:ascii="Arial" w:hAnsi="Arial" w:cs="Arial"/>
                <w:bCs/>
                <w:sz w:val="20"/>
                <w:szCs w:val="20"/>
              </w:rPr>
              <w:t xml:space="preserve">Are there considerations that the AESO could include in </w:t>
            </w:r>
            <w:r w:rsidR="00F30B6A" w:rsidRPr="00361CB1">
              <w:rPr>
                <w:rFonts w:ascii="Arial" w:hAnsi="Arial" w:cs="Arial"/>
                <w:bCs/>
                <w:sz w:val="20"/>
                <w:szCs w:val="20"/>
              </w:rPr>
              <w:t>its</w:t>
            </w:r>
            <w:r w:rsidRPr="00361CB1">
              <w:rPr>
                <w:rFonts w:ascii="Arial" w:hAnsi="Arial" w:cs="Arial"/>
                <w:bCs/>
                <w:sz w:val="20"/>
                <w:szCs w:val="20"/>
              </w:rPr>
              <w:t xml:space="preserve"> rate design</w:t>
            </w:r>
            <w:r w:rsidR="009A3E10" w:rsidRPr="00361CB1">
              <w:rPr>
                <w:rFonts w:ascii="Arial" w:hAnsi="Arial" w:cs="Arial"/>
                <w:bCs/>
                <w:sz w:val="20"/>
                <w:szCs w:val="20"/>
              </w:rPr>
              <w:t xml:space="preserve"> proposal</w:t>
            </w:r>
            <w:r w:rsidRPr="00361CB1">
              <w:rPr>
                <w:rFonts w:ascii="Arial" w:hAnsi="Arial" w:cs="Arial"/>
                <w:bCs/>
                <w:sz w:val="20"/>
                <w:szCs w:val="20"/>
              </w:rPr>
              <w:t xml:space="preserve"> that would move you to at an area of agreement on any of the areas of disagreement</w:t>
            </w:r>
            <w:r w:rsidR="00361CB1" w:rsidRPr="00361CB1">
              <w:rPr>
                <w:rFonts w:ascii="Arial" w:hAnsi="Arial" w:cs="Arial"/>
                <w:bCs/>
                <w:sz w:val="20"/>
                <w:szCs w:val="20"/>
              </w:rPr>
              <w:t xml:space="preserve"> (refer to question 5</w:t>
            </w:r>
            <w:r w:rsidR="002D2C87">
              <w:rPr>
                <w:rFonts w:ascii="Arial" w:hAnsi="Arial" w:cs="Arial"/>
                <w:bCs/>
                <w:sz w:val="20"/>
                <w:szCs w:val="20"/>
              </w:rPr>
              <w:t xml:space="preserve"> above</w:t>
            </w:r>
            <w:r w:rsidR="00361CB1">
              <w:rPr>
                <w:rFonts w:ascii="Arial" w:hAnsi="Arial" w:cs="Arial"/>
                <w:bCs/>
                <w:sz w:val="20"/>
                <w:szCs w:val="20"/>
              </w:rPr>
              <w:t>)?</w:t>
            </w:r>
            <w:r w:rsidR="00F30B6A" w:rsidRPr="00361CB1">
              <w:rPr>
                <w:rFonts w:ascii="Arial" w:hAnsi="Arial" w:cs="Arial"/>
                <w:bCs/>
                <w:sz w:val="20"/>
                <w:szCs w:val="20"/>
              </w:rPr>
              <w:t xml:space="preserve"> Please</w:t>
            </w:r>
            <w:r w:rsidR="00F30B6A">
              <w:rPr>
                <w:rFonts w:ascii="Arial" w:hAnsi="Arial" w:cs="Arial"/>
                <w:bCs/>
                <w:sz w:val="20"/>
                <w:szCs w:val="20"/>
              </w:rPr>
              <w:t xml:space="preserve"> specify.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AD13" w14:textId="77777777" w:rsidR="006C7D45" w:rsidRPr="006C7D45" w:rsidDel="007D7FA8" w:rsidRDefault="006C7D45" w:rsidP="006C7D45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E10" w:rsidRPr="00BC502D" w14:paraId="12A2E107" w14:textId="77777777" w:rsidTr="004607E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CB09" w14:textId="77777777" w:rsidR="009A3E10" w:rsidRPr="009A3E10" w:rsidRDefault="009A3E10" w:rsidP="00EB454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07E9" w14:textId="513FD445" w:rsidR="009A3E10" w:rsidRPr="009A3E10" w:rsidRDefault="009A3E10" w:rsidP="00A442E1">
            <w:pPr>
              <w:keepNext/>
              <w:spacing w:before="120" w:after="120"/>
              <w:ind w:left="115"/>
              <w:rPr>
                <w:rFonts w:ascii="Arial" w:hAnsi="Arial" w:cs="Arial"/>
                <w:bCs/>
                <w:sz w:val="20"/>
                <w:szCs w:val="20"/>
              </w:rPr>
            </w:pPr>
            <w:r w:rsidRPr="00155294">
              <w:rPr>
                <w:rFonts w:ascii="Arial" w:hAnsi="Arial" w:cs="Arial"/>
                <w:bCs/>
                <w:sz w:val="20"/>
                <w:szCs w:val="20"/>
              </w:rPr>
              <w:t>Are you supportive of the areas of agreement for energy storage presented at Session 4? Why or why not?</w:t>
            </w:r>
          </w:p>
          <w:p w14:paraId="299C0F4E" w14:textId="3078FE51" w:rsidR="009A3E10" w:rsidRPr="005973C1" w:rsidRDefault="009A3E10" w:rsidP="009A3E10">
            <w:pPr>
              <w:keepNext/>
              <w:spacing w:before="120" w:after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973C1">
              <w:rPr>
                <w:rFonts w:ascii="Arial" w:hAnsi="Arial" w:cs="Arial"/>
                <w:b/>
                <w:sz w:val="20"/>
                <w:szCs w:val="20"/>
              </w:rPr>
              <w:t>Energy storage areas of agreement:</w:t>
            </w:r>
          </w:p>
          <w:p w14:paraId="2898630B" w14:textId="41B721E4" w:rsidR="009A3E10" w:rsidRPr="009A3E10" w:rsidRDefault="009A3E10" w:rsidP="002D2C87">
            <w:pPr>
              <w:pStyle w:val="ListParagraph"/>
              <w:keepNext/>
              <w:numPr>
                <w:ilvl w:val="0"/>
                <w:numId w:val="27"/>
              </w:numPr>
              <w:spacing w:before="4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>Energy storage is unique in that it is not the producer or the end consumer of electric energy, nor is it the transmitter</w:t>
            </w:r>
          </w:p>
          <w:p w14:paraId="791C60A7" w14:textId="77777777" w:rsidR="009A3E10" w:rsidRPr="009A3E10" w:rsidRDefault="009A3E10" w:rsidP="009A3E10">
            <w:pPr>
              <w:pStyle w:val="ListParagraph"/>
              <w:keepNext/>
              <w:numPr>
                <w:ilvl w:val="0"/>
                <w:numId w:val="27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>Energy storage can participate in Alberta’s electricity use-cases by providing</w:t>
            </w:r>
          </w:p>
          <w:p w14:paraId="50B4E7B2" w14:textId="77777777" w:rsidR="009A3E10" w:rsidRPr="009A3E10" w:rsidRDefault="009A3E10" w:rsidP="00361CB1">
            <w:pPr>
              <w:pStyle w:val="ListParagraph"/>
              <w:keepNext/>
              <w:numPr>
                <w:ilvl w:val="1"/>
                <w:numId w:val="27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 xml:space="preserve">Energy Price arbitrage </w:t>
            </w:r>
          </w:p>
          <w:p w14:paraId="47296969" w14:textId="77777777" w:rsidR="009A3E10" w:rsidRPr="009A3E10" w:rsidRDefault="009A3E10" w:rsidP="00361CB1">
            <w:pPr>
              <w:pStyle w:val="ListParagraph"/>
              <w:keepNext/>
              <w:numPr>
                <w:ilvl w:val="1"/>
                <w:numId w:val="27"/>
              </w:num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>Operating Reserves</w:t>
            </w:r>
          </w:p>
          <w:p w14:paraId="1ABDC181" w14:textId="77777777" w:rsidR="009A3E10" w:rsidRPr="009A3E10" w:rsidRDefault="009A3E10" w:rsidP="002D2C87">
            <w:pPr>
              <w:pStyle w:val="ListParagraph"/>
              <w:keepNext/>
              <w:numPr>
                <w:ilvl w:val="1"/>
                <w:numId w:val="27"/>
              </w:numPr>
              <w:spacing w:before="4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>Non-wires solutions for transmission deferral</w:t>
            </w:r>
          </w:p>
          <w:p w14:paraId="27E66836" w14:textId="781A664D" w:rsidR="009A3E10" w:rsidRPr="009A3E10" w:rsidRDefault="009A3E10" w:rsidP="002D2C87">
            <w:pPr>
              <w:pStyle w:val="ListParagraph"/>
              <w:keepNext/>
              <w:numPr>
                <w:ilvl w:val="0"/>
                <w:numId w:val="27"/>
              </w:numPr>
              <w:spacing w:before="40" w:after="20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>Energy Storage should be treated in a</w:t>
            </w:r>
            <w:r w:rsidR="00361CB1">
              <w:rPr>
                <w:rFonts w:ascii="Arial" w:hAnsi="Arial" w:cs="Arial"/>
                <w:bCs/>
                <w:sz w:val="20"/>
                <w:szCs w:val="20"/>
              </w:rPr>
              <w:t xml:space="preserve"> fair, efficient, and openly competitive (</w:t>
            </w:r>
            <w:r w:rsidRPr="009A3E10">
              <w:rPr>
                <w:rFonts w:ascii="Arial" w:hAnsi="Arial" w:cs="Arial"/>
                <w:bCs/>
                <w:sz w:val="20"/>
                <w:szCs w:val="20"/>
              </w:rPr>
              <w:t>FEOC</w:t>
            </w:r>
            <w:r w:rsidR="00361CB1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9A3E10">
              <w:rPr>
                <w:rFonts w:ascii="Arial" w:hAnsi="Arial" w:cs="Arial"/>
                <w:bCs/>
                <w:sz w:val="20"/>
                <w:szCs w:val="20"/>
              </w:rPr>
              <w:t xml:space="preserve"> manner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AF1E" w14:textId="77777777" w:rsidR="009A3E10" w:rsidRPr="009A3E10" w:rsidRDefault="009A3E10" w:rsidP="009A3E10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3E10" w:rsidRPr="00BC502D" w:rsidDel="007D7FA8" w14:paraId="20398CA1" w14:textId="77777777" w:rsidTr="004607E4">
        <w:trPr>
          <w:trHeight w:val="440"/>
        </w:trPr>
        <w:tc>
          <w:tcPr>
            <w:tcW w:w="360" w:type="dxa"/>
          </w:tcPr>
          <w:p w14:paraId="3BE0DF58" w14:textId="77777777" w:rsidR="009A3E10" w:rsidDel="007D7FA8" w:rsidRDefault="009A3E10" w:rsidP="006C7D45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32BBF9C1" w14:textId="6FD00A2C" w:rsidR="009A3E10" w:rsidRDefault="009A3E10" w:rsidP="00A442E1">
            <w:pPr>
              <w:keepNext/>
              <w:spacing w:before="120" w:after="12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155294">
              <w:rPr>
                <w:rFonts w:ascii="Arial" w:hAnsi="Arial" w:cs="Arial"/>
                <w:sz w:val="20"/>
                <w:szCs w:val="20"/>
              </w:rPr>
              <w:t>Are you supportive of the areas of disagreement for energy storage presented at Session 4? Why or why not?</w:t>
            </w:r>
          </w:p>
          <w:p w14:paraId="0E0010E4" w14:textId="5540EDC2" w:rsidR="009A3E10" w:rsidRPr="005973C1" w:rsidRDefault="009A3E10" w:rsidP="009A3E10">
            <w:pPr>
              <w:keepNext/>
              <w:spacing w:before="120" w:after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973C1">
              <w:rPr>
                <w:rFonts w:ascii="Arial" w:hAnsi="Arial" w:cs="Arial"/>
                <w:b/>
                <w:sz w:val="20"/>
                <w:szCs w:val="20"/>
              </w:rPr>
              <w:t xml:space="preserve">Energy storage areas of </w:t>
            </w:r>
            <w:r w:rsidR="00A442E1">
              <w:rPr>
                <w:rFonts w:ascii="Arial" w:hAnsi="Arial" w:cs="Arial"/>
                <w:b/>
                <w:sz w:val="20"/>
                <w:szCs w:val="20"/>
              </w:rPr>
              <w:t>dis</w:t>
            </w:r>
            <w:r w:rsidRPr="005973C1">
              <w:rPr>
                <w:rFonts w:ascii="Arial" w:hAnsi="Arial" w:cs="Arial"/>
                <w:b/>
                <w:sz w:val="20"/>
                <w:szCs w:val="20"/>
              </w:rPr>
              <w:t>agreement:</w:t>
            </w:r>
          </w:p>
          <w:p w14:paraId="729CDA8A" w14:textId="77777777" w:rsidR="009A3E10" w:rsidRPr="009A3E10" w:rsidRDefault="009A3E10" w:rsidP="002D2C87">
            <w:pPr>
              <w:pStyle w:val="ListParagraph"/>
              <w:keepNext/>
              <w:numPr>
                <w:ilvl w:val="0"/>
                <w:numId w:val="27"/>
              </w:numPr>
              <w:spacing w:before="4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>Is energy storage a user of the grid or a component of the grid or both?</w:t>
            </w:r>
          </w:p>
          <w:p w14:paraId="0678D82C" w14:textId="0522FC19" w:rsidR="009A3E10" w:rsidRPr="009A3E10" w:rsidRDefault="009A3E10" w:rsidP="002D2C87">
            <w:pPr>
              <w:pStyle w:val="ListParagraph"/>
              <w:keepNext/>
              <w:numPr>
                <w:ilvl w:val="0"/>
                <w:numId w:val="27"/>
              </w:numPr>
              <w:spacing w:before="4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>Does energy storage use the network for the Alberta specific use-cases?</w:t>
            </w:r>
          </w:p>
          <w:p w14:paraId="6509C329" w14:textId="49BD7AF6" w:rsidR="009A3E10" w:rsidRPr="009A3E10" w:rsidRDefault="009A3E10" w:rsidP="002D2C87">
            <w:pPr>
              <w:pStyle w:val="ListParagraph"/>
              <w:keepNext/>
              <w:numPr>
                <w:ilvl w:val="0"/>
                <w:numId w:val="27"/>
              </w:numPr>
              <w:spacing w:before="4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>Should energy storage pay for inflows and outflows like every other network user or not?</w:t>
            </w:r>
          </w:p>
          <w:p w14:paraId="3CE51640" w14:textId="56DE346D" w:rsidR="009A3E10" w:rsidRPr="009A3E10" w:rsidRDefault="009A3E10" w:rsidP="002D2C87">
            <w:pPr>
              <w:pStyle w:val="ListParagraph"/>
              <w:keepNext/>
              <w:numPr>
                <w:ilvl w:val="0"/>
                <w:numId w:val="27"/>
              </w:numPr>
              <w:spacing w:before="40" w:after="200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9A3E10">
              <w:rPr>
                <w:rFonts w:ascii="Arial" w:hAnsi="Arial" w:cs="Arial"/>
                <w:bCs/>
                <w:sz w:val="20"/>
                <w:szCs w:val="20"/>
              </w:rPr>
              <w:t xml:space="preserve">Should energy storage pay for one or more of administration, </w:t>
            </w:r>
            <w:r w:rsidR="00361CB1">
              <w:rPr>
                <w:rFonts w:ascii="Arial" w:hAnsi="Arial" w:cs="Arial"/>
                <w:bCs/>
                <w:sz w:val="20"/>
                <w:szCs w:val="20"/>
              </w:rPr>
              <w:t>operations and maintenance</w:t>
            </w:r>
            <w:r w:rsidRPr="009A3E10">
              <w:rPr>
                <w:rFonts w:ascii="Arial" w:hAnsi="Arial" w:cs="Arial"/>
                <w:bCs/>
                <w:sz w:val="20"/>
                <w:szCs w:val="20"/>
              </w:rPr>
              <w:t>, pod, regional, bulk charges?</w:t>
            </w:r>
          </w:p>
        </w:tc>
        <w:tc>
          <w:tcPr>
            <w:tcW w:w="7650" w:type="dxa"/>
            <w:shd w:val="clear" w:color="auto" w:fill="auto"/>
          </w:tcPr>
          <w:p w14:paraId="3B936294" w14:textId="77777777" w:rsidR="009A3E10" w:rsidRPr="00DC7D20" w:rsidDel="007D7FA8" w:rsidRDefault="009A3E10" w:rsidP="00C33192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7E4" w:rsidRPr="00BC502D" w:rsidDel="007D7FA8" w14:paraId="5C56C16B" w14:textId="77777777" w:rsidTr="004607E4">
        <w:trPr>
          <w:trHeight w:val="440"/>
        </w:trPr>
        <w:tc>
          <w:tcPr>
            <w:tcW w:w="360" w:type="dxa"/>
          </w:tcPr>
          <w:p w14:paraId="431F909B" w14:textId="77777777" w:rsidR="004607E4" w:rsidDel="007D7FA8" w:rsidRDefault="004607E4" w:rsidP="006C7D45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2CFB5337" w14:textId="41A1C68C" w:rsidR="004607E4" w:rsidRPr="00155294" w:rsidRDefault="004607E4" w:rsidP="002D2C87">
            <w:pPr>
              <w:keepNext/>
              <w:spacing w:before="120" w:after="20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361CB1">
              <w:rPr>
                <w:rFonts w:ascii="Arial" w:hAnsi="Arial" w:cs="Arial"/>
                <w:bCs/>
                <w:sz w:val="20"/>
                <w:szCs w:val="20"/>
              </w:rPr>
              <w:t xml:space="preserve">Are there considerations that the AESO could include in </w:t>
            </w:r>
            <w:r w:rsidR="00B96407">
              <w:rPr>
                <w:rFonts w:ascii="Arial" w:hAnsi="Arial" w:cs="Arial"/>
                <w:bCs/>
                <w:sz w:val="20"/>
                <w:szCs w:val="20"/>
              </w:rPr>
              <w:t>its</w:t>
            </w:r>
            <w:r w:rsidRPr="00361CB1">
              <w:rPr>
                <w:rFonts w:ascii="Arial" w:hAnsi="Arial" w:cs="Arial"/>
                <w:bCs/>
                <w:sz w:val="20"/>
                <w:szCs w:val="20"/>
              </w:rPr>
              <w:t xml:space="preserve"> rate design proposal that would move you to at an area of agreement on any of the areas of disagreement </w:t>
            </w:r>
            <w:r w:rsidR="00B96407">
              <w:rPr>
                <w:rFonts w:ascii="Arial" w:hAnsi="Arial" w:cs="Arial"/>
                <w:bCs/>
                <w:sz w:val="20"/>
                <w:szCs w:val="20"/>
              </w:rPr>
              <w:t xml:space="preserve">for energy storage </w:t>
            </w:r>
            <w:r w:rsidRPr="00361CB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refer to question 8</w:t>
            </w:r>
            <w:r w:rsidR="002D2C87">
              <w:rPr>
                <w:rFonts w:ascii="Arial" w:hAnsi="Arial" w:cs="Arial"/>
                <w:bCs/>
                <w:sz w:val="20"/>
                <w:szCs w:val="20"/>
              </w:rPr>
              <w:t xml:space="preserve"> above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361CB1">
              <w:rPr>
                <w:rFonts w:ascii="Arial" w:hAnsi="Arial" w:cs="Arial"/>
                <w:bCs/>
                <w:sz w:val="20"/>
                <w:szCs w:val="20"/>
              </w:rPr>
              <w:t>? Please specify.</w:t>
            </w:r>
          </w:p>
        </w:tc>
        <w:tc>
          <w:tcPr>
            <w:tcW w:w="7650" w:type="dxa"/>
            <w:shd w:val="clear" w:color="auto" w:fill="auto"/>
          </w:tcPr>
          <w:p w14:paraId="40B434B4" w14:textId="77777777" w:rsidR="004607E4" w:rsidRPr="00DC7D20" w:rsidDel="007D7FA8" w:rsidRDefault="004607E4" w:rsidP="00C33192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B1" w:rsidRPr="00BC502D" w14:paraId="11B6C076" w14:textId="77777777" w:rsidTr="004607E4">
        <w:trPr>
          <w:trHeight w:val="377"/>
        </w:trPr>
        <w:tc>
          <w:tcPr>
            <w:tcW w:w="360" w:type="dxa"/>
          </w:tcPr>
          <w:p w14:paraId="03512F62" w14:textId="77777777" w:rsidR="00361CB1" w:rsidRDefault="00361CB1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5C937F11" w14:textId="2D5EFF6A" w:rsidR="00361CB1" w:rsidRPr="009A2428" w:rsidRDefault="00361CB1" w:rsidP="002D2C87">
            <w:pPr>
              <w:keepNext/>
              <w:spacing w:before="120" w:after="20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61CB1">
              <w:rPr>
                <w:rFonts w:ascii="Arial" w:hAnsi="Arial" w:cs="Arial"/>
                <w:sz w:val="20"/>
                <w:szCs w:val="20"/>
              </w:rPr>
              <w:t>o you have any comments on the AESO’s proposed stakeholder engagement process</w:t>
            </w:r>
            <w:r>
              <w:rPr>
                <w:rFonts w:ascii="Arial" w:hAnsi="Arial" w:cs="Arial"/>
                <w:sz w:val="20"/>
                <w:szCs w:val="20"/>
              </w:rPr>
              <w:t>, including the mitigation process,</w:t>
            </w:r>
            <w:r w:rsidRPr="00361CB1">
              <w:rPr>
                <w:rFonts w:ascii="Arial" w:hAnsi="Arial" w:cs="Arial"/>
                <w:sz w:val="20"/>
                <w:szCs w:val="20"/>
              </w:rPr>
              <w:t xml:space="preserve"> for the remainder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Bulk and Regional Rate Design </w:t>
            </w:r>
            <w:r w:rsidRPr="00361CB1">
              <w:rPr>
                <w:rFonts w:ascii="Arial" w:hAnsi="Arial" w:cs="Arial"/>
                <w:sz w:val="20"/>
                <w:szCs w:val="20"/>
              </w:rPr>
              <w:t>engagement?</w:t>
            </w:r>
          </w:p>
        </w:tc>
        <w:tc>
          <w:tcPr>
            <w:tcW w:w="7650" w:type="dxa"/>
            <w:shd w:val="clear" w:color="auto" w:fill="auto"/>
          </w:tcPr>
          <w:p w14:paraId="217E9F6C" w14:textId="77777777" w:rsidR="00361CB1" w:rsidRPr="00DC7D20" w:rsidRDefault="00361CB1" w:rsidP="00C33192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258" w:rsidRPr="00BC502D" w14:paraId="02AFDB82" w14:textId="77777777" w:rsidTr="004607E4">
        <w:trPr>
          <w:trHeight w:val="377"/>
        </w:trPr>
        <w:tc>
          <w:tcPr>
            <w:tcW w:w="360" w:type="dxa"/>
          </w:tcPr>
          <w:p w14:paraId="6269D60A" w14:textId="77777777" w:rsidR="00F54258" w:rsidRDefault="00F54258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11451A79" w14:textId="14C8174A" w:rsidR="00F54258" w:rsidRDefault="00F54258" w:rsidP="002D2C87">
            <w:pPr>
              <w:keepNext/>
              <w:spacing w:before="120" w:after="20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9A2428">
              <w:rPr>
                <w:rFonts w:ascii="Arial" w:hAnsi="Arial" w:cs="Arial"/>
                <w:sz w:val="20"/>
                <w:szCs w:val="20"/>
              </w:rPr>
              <w:t>Do you have additional clarifying questions that need to be answered to support your understanding?</w:t>
            </w:r>
          </w:p>
        </w:tc>
        <w:tc>
          <w:tcPr>
            <w:tcW w:w="7650" w:type="dxa"/>
            <w:shd w:val="clear" w:color="auto" w:fill="auto"/>
          </w:tcPr>
          <w:p w14:paraId="23154975" w14:textId="77777777" w:rsidR="00F54258" w:rsidRPr="00DC7D20" w:rsidRDefault="00F54258" w:rsidP="00C33192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D45" w:rsidRPr="00BC502D" w14:paraId="238F6F62" w14:textId="77777777" w:rsidTr="004607E4">
        <w:trPr>
          <w:trHeight w:val="377"/>
        </w:trPr>
        <w:tc>
          <w:tcPr>
            <w:tcW w:w="360" w:type="dxa"/>
          </w:tcPr>
          <w:p w14:paraId="6146573A" w14:textId="77777777" w:rsidR="006C7D45" w:rsidRDefault="006C7D45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628D36FE" w14:textId="77777777" w:rsidR="006C7D45" w:rsidRPr="00433B5B" w:rsidRDefault="006C7D45" w:rsidP="00CA2A66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</w:t>
            </w:r>
          </w:p>
        </w:tc>
        <w:tc>
          <w:tcPr>
            <w:tcW w:w="7650" w:type="dxa"/>
            <w:shd w:val="clear" w:color="auto" w:fill="auto"/>
          </w:tcPr>
          <w:p w14:paraId="7831A4E2" w14:textId="77777777" w:rsidR="006C7D45" w:rsidRPr="00DC7D20" w:rsidRDefault="006C7D45" w:rsidP="00C33192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4C5B2" w14:textId="77777777" w:rsidR="006C7D45" w:rsidRDefault="006C7D45" w:rsidP="00297F48">
      <w:pPr>
        <w:ind w:left="-630"/>
        <w:rPr>
          <w:rFonts w:ascii="Arial" w:hAnsi="Arial" w:cs="Arial"/>
          <w:sz w:val="20"/>
          <w:szCs w:val="20"/>
        </w:rPr>
      </w:pPr>
    </w:p>
    <w:p w14:paraId="4BC7ADBF" w14:textId="76A8DF00" w:rsidR="00C42290" w:rsidRPr="009D4CFA" w:rsidRDefault="00903B20" w:rsidP="0019273F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</w:t>
      </w:r>
      <w:r w:rsidRPr="00903B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your input.</w:t>
      </w:r>
      <w:r w:rsidR="009D186B" w:rsidRPr="009D186B">
        <w:rPr>
          <w:rFonts w:ascii="Arial" w:hAnsi="Arial" w:cs="Arial"/>
          <w:sz w:val="20"/>
          <w:szCs w:val="20"/>
        </w:rPr>
        <w:t xml:space="preserve"> </w:t>
      </w:r>
      <w:r w:rsidR="009D186B">
        <w:rPr>
          <w:rFonts w:ascii="Arial" w:hAnsi="Arial" w:cs="Arial"/>
          <w:sz w:val="20"/>
          <w:szCs w:val="20"/>
        </w:rPr>
        <w:t xml:space="preserve">Please email your comments to: </w:t>
      </w:r>
      <w:hyperlink r:id="rId15" w:history="1">
        <w:r w:rsidR="009D186B" w:rsidRPr="0087771A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 w:rsidR="009D186B">
        <w:rPr>
          <w:rFonts w:ascii="Arial" w:hAnsi="Arial" w:cs="Arial"/>
          <w:sz w:val="20"/>
          <w:szCs w:val="20"/>
        </w:rPr>
        <w:t xml:space="preserve">. </w:t>
      </w:r>
    </w:p>
    <w:sectPr w:rsidR="00C42290" w:rsidRPr="009D4CFA" w:rsidSect="00B37FC9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E4335" w14:textId="77777777" w:rsidR="008F7680" w:rsidRDefault="008F7680" w:rsidP="00E77EC5">
      <w:r>
        <w:separator/>
      </w:r>
    </w:p>
  </w:endnote>
  <w:endnote w:type="continuationSeparator" w:id="0">
    <w:p w14:paraId="73826A27" w14:textId="77777777" w:rsidR="008F7680" w:rsidRDefault="008F7680" w:rsidP="00E77EC5">
      <w:r>
        <w:continuationSeparator/>
      </w:r>
    </w:p>
  </w:endnote>
  <w:endnote w:type="continuationNotice" w:id="1">
    <w:p w14:paraId="48F62AF0" w14:textId="77777777" w:rsidR="008F7680" w:rsidRDefault="008F7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7" w14:textId="34326CB2" w:rsidR="00DF7377" w:rsidRPr="00BC502D" w:rsidRDefault="00DF7377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8B2334">
      <w:rPr>
        <w:rFonts w:ascii="Arial" w:hAnsi="Arial" w:cs="Arial"/>
        <w:sz w:val="18"/>
        <w:szCs w:val="18"/>
      </w:rPr>
      <w:t>Dec. 10,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E" w14:textId="7D6E5E2C" w:rsidR="00DF7377" w:rsidRPr="00BC502D" w:rsidRDefault="00DF7377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 w:rsidR="00F54258">
      <w:rPr>
        <w:rFonts w:ascii="Arial" w:hAnsi="Arial" w:cs="Arial"/>
        <w:sz w:val="18"/>
        <w:szCs w:val="18"/>
      </w:rPr>
      <w:t>Dec. 10,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BA04E" w14:textId="77777777" w:rsidR="008F7680" w:rsidRDefault="008F7680" w:rsidP="00E77EC5">
      <w:r>
        <w:separator/>
      </w:r>
    </w:p>
  </w:footnote>
  <w:footnote w:type="continuationSeparator" w:id="0">
    <w:p w14:paraId="5CC12FF3" w14:textId="77777777" w:rsidR="008F7680" w:rsidRDefault="008F7680" w:rsidP="00E77EC5">
      <w:r>
        <w:continuationSeparator/>
      </w:r>
    </w:p>
  </w:footnote>
  <w:footnote w:type="continuationNotice" w:id="1">
    <w:p w14:paraId="5518D5E6" w14:textId="77777777" w:rsidR="008F7680" w:rsidRDefault="008F7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4" w14:textId="77777777" w:rsidR="00DF7377" w:rsidRDefault="00DF7377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1" layoutInCell="0" allowOverlap="1" wp14:anchorId="4BC7ADCF" wp14:editId="4BC7ADD0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0"/>
          <wp:wrapNone/>
          <wp:docPr id="1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0" allowOverlap="1" wp14:anchorId="4BC7ADD1" wp14:editId="4BC7ADD2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0"/>
          <wp:wrapNone/>
          <wp:docPr id="3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7ADC5" w14:textId="77777777" w:rsidR="00DF7377" w:rsidRDefault="00DF7377" w:rsidP="00BD7A7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262"/>
    </w:tblGrid>
    <w:tr w:rsidR="00DF7377" w:rsidRPr="00D201BB" w14:paraId="4BC7ADCB" w14:textId="77777777" w:rsidTr="00312309">
      <w:trPr>
        <w:trHeight w:val="1440"/>
      </w:trPr>
      <w:tc>
        <w:tcPr>
          <w:tcW w:w="8262" w:type="dxa"/>
          <w:shd w:val="clear" w:color="auto" w:fill="auto"/>
          <w:vAlign w:val="bottom"/>
        </w:tcPr>
        <w:p w14:paraId="4BC7ADC8" w14:textId="2BF8210D" w:rsidR="00DF7377" w:rsidRPr="00B96407" w:rsidRDefault="00DF7377" w:rsidP="00903B20">
          <w:pPr>
            <w:pStyle w:val="Title"/>
            <w:spacing w:before="240" w:after="60"/>
            <w:rPr>
              <w:rFonts w:ascii="Arial" w:hAnsi="Arial"/>
              <w:b/>
              <w:color w:val="1F497D"/>
              <w:sz w:val="32"/>
              <w:szCs w:val="24"/>
            </w:rPr>
          </w:pP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Stakeholder Comment Matrix – </w:t>
          </w:r>
          <w:r w:rsidR="00F54258" w:rsidRPr="00B96407">
            <w:rPr>
              <w:rFonts w:ascii="Arial" w:hAnsi="Arial"/>
              <w:b/>
              <w:color w:val="1F497D"/>
              <w:sz w:val="32"/>
              <w:szCs w:val="24"/>
            </w:rPr>
            <w:t>Dec. 10</w:t>
          </w:r>
          <w:r w:rsidR="00D35899" w:rsidRPr="00B96407">
            <w:rPr>
              <w:rFonts w:ascii="Arial" w:hAnsi="Arial"/>
              <w:b/>
              <w:color w:val="1F497D"/>
              <w:sz w:val="32"/>
              <w:szCs w:val="24"/>
            </w:rPr>
            <w:t>, 2020</w:t>
          </w: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 </w:t>
          </w:r>
        </w:p>
        <w:p w14:paraId="4BC7ADC9" w14:textId="7C6429E4" w:rsidR="00DF7377" w:rsidRPr="00B96407" w:rsidRDefault="00766BC8" w:rsidP="005B7C68">
          <w:pPr>
            <w:spacing w:after="120"/>
            <w:textAlignment w:val="baseline"/>
            <w:outlineLvl w:val="0"/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</w:pPr>
          <w:r w:rsidRPr="00B96407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 xml:space="preserve">Bulk and Regional Tariff Design </w:t>
          </w:r>
          <w:r w:rsidR="00F54258" w:rsidRPr="00B96407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 xml:space="preserve">Stakeholder Engagement </w:t>
          </w:r>
          <w:r w:rsidRPr="00B96407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 xml:space="preserve">Session </w:t>
          </w:r>
          <w:r w:rsidR="00F54258" w:rsidRPr="00B96407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>4</w:t>
          </w:r>
        </w:p>
        <w:p w14:paraId="4BC7ADCA" w14:textId="77777777" w:rsidR="00DF7377" w:rsidRPr="005B7C68" w:rsidRDefault="00DF7377" w:rsidP="00FE6EE5">
          <w:pPr>
            <w:pStyle w:val="Title"/>
            <w:rPr>
              <w:b/>
              <w:color w:val="1F497D"/>
              <w:sz w:val="24"/>
              <w:szCs w:val="24"/>
            </w:rPr>
          </w:pPr>
        </w:p>
      </w:tc>
    </w:tr>
  </w:tbl>
  <w:p w14:paraId="4BC7ADCD" w14:textId="2BB2CBA7" w:rsidR="00DF7377" w:rsidRPr="00312309" w:rsidRDefault="00DF7377" w:rsidP="00FE6EE5">
    <w:pPr>
      <w:ind w:left="-900"/>
      <w:rPr>
        <w:color w:val="1F497D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1" locked="1" layoutInCell="1" allowOverlap="0" wp14:anchorId="4BC7ADD3" wp14:editId="2FA22D59">
          <wp:simplePos x="0" y="0"/>
          <wp:positionH relativeFrom="column">
            <wp:posOffset>-1052195</wp:posOffset>
          </wp:positionH>
          <wp:positionV relativeFrom="page">
            <wp:posOffset>353060</wp:posOffset>
          </wp:positionV>
          <wp:extent cx="10179050" cy="1257300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85E"/>
    <w:multiLevelType w:val="hybridMultilevel"/>
    <w:tmpl w:val="9C5C14F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2F9"/>
    <w:multiLevelType w:val="hybridMultilevel"/>
    <w:tmpl w:val="5CA836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4F69"/>
    <w:multiLevelType w:val="hybridMultilevel"/>
    <w:tmpl w:val="483C8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074674"/>
    <w:multiLevelType w:val="hybridMultilevel"/>
    <w:tmpl w:val="3730897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143B8"/>
    <w:multiLevelType w:val="hybridMultilevel"/>
    <w:tmpl w:val="F1CA5C5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2ED02802"/>
    <w:multiLevelType w:val="hybridMultilevel"/>
    <w:tmpl w:val="0FE0518E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C520C"/>
    <w:multiLevelType w:val="hybridMultilevel"/>
    <w:tmpl w:val="9F528E0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6511962"/>
    <w:multiLevelType w:val="hybridMultilevel"/>
    <w:tmpl w:val="041C11F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57CB4CBE"/>
    <w:multiLevelType w:val="hybridMultilevel"/>
    <w:tmpl w:val="0930F8E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 w15:restartNumberingAfterBreak="0">
    <w:nsid w:val="64D9236F"/>
    <w:multiLevelType w:val="hybridMultilevel"/>
    <w:tmpl w:val="2582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14CA9"/>
    <w:multiLevelType w:val="hybridMultilevel"/>
    <w:tmpl w:val="EC9838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8"/>
  </w:num>
  <w:num w:numId="5">
    <w:abstractNumId w:val="19"/>
  </w:num>
  <w:num w:numId="6">
    <w:abstractNumId w:val="26"/>
  </w:num>
  <w:num w:numId="7">
    <w:abstractNumId w:val="21"/>
  </w:num>
  <w:num w:numId="8">
    <w:abstractNumId w:val="1"/>
  </w:num>
  <w:num w:numId="9">
    <w:abstractNumId w:val="20"/>
  </w:num>
  <w:num w:numId="10">
    <w:abstractNumId w:val="7"/>
  </w:num>
  <w:num w:numId="11">
    <w:abstractNumId w:val="17"/>
  </w:num>
  <w:num w:numId="12">
    <w:abstractNumId w:val="5"/>
  </w:num>
  <w:num w:numId="13">
    <w:abstractNumId w:val="16"/>
  </w:num>
  <w:num w:numId="14">
    <w:abstractNumId w:val="14"/>
  </w:num>
  <w:num w:numId="15">
    <w:abstractNumId w:val="9"/>
  </w:num>
  <w:num w:numId="16">
    <w:abstractNumId w:val="27"/>
  </w:num>
  <w:num w:numId="17">
    <w:abstractNumId w:val="3"/>
  </w:num>
  <w:num w:numId="18">
    <w:abstractNumId w:val="12"/>
  </w:num>
  <w:num w:numId="19">
    <w:abstractNumId w:val="25"/>
  </w:num>
  <w:num w:numId="20">
    <w:abstractNumId w:val="24"/>
  </w:num>
  <w:num w:numId="21">
    <w:abstractNumId w:val="4"/>
  </w:num>
  <w:num w:numId="22">
    <w:abstractNumId w:val="23"/>
  </w:num>
  <w:num w:numId="23">
    <w:abstractNumId w:val="2"/>
  </w:num>
  <w:num w:numId="24">
    <w:abstractNumId w:val="0"/>
  </w:num>
  <w:num w:numId="25">
    <w:abstractNumId w:val="6"/>
  </w:num>
  <w:num w:numId="26">
    <w:abstractNumId w:val="22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532E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0F60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5294"/>
    <w:rsid w:val="00160738"/>
    <w:rsid w:val="001631F0"/>
    <w:rsid w:val="00164E6F"/>
    <w:rsid w:val="001724F8"/>
    <w:rsid w:val="00180BF7"/>
    <w:rsid w:val="00183D00"/>
    <w:rsid w:val="001843C8"/>
    <w:rsid w:val="00185DC3"/>
    <w:rsid w:val="00190831"/>
    <w:rsid w:val="00191574"/>
    <w:rsid w:val="0019273F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4548A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A6350"/>
    <w:rsid w:val="002B2EAD"/>
    <w:rsid w:val="002B3C2E"/>
    <w:rsid w:val="002B563C"/>
    <w:rsid w:val="002B6BC5"/>
    <w:rsid w:val="002B7303"/>
    <w:rsid w:val="002D2C87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7E9"/>
    <w:rsid w:val="00334FDA"/>
    <w:rsid w:val="00336097"/>
    <w:rsid w:val="00344963"/>
    <w:rsid w:val="00345614"/>
    <w:rsid w:val="00347CEC"/>
    <w:rsid w:val="00351C46"/>
    <w:rsid w:val="003528B4"/>
    <w:rsid w:val="00354D5A"/>
    <w:rsid w:val="00357C83"/>
    <w:rsid w:val="00361CB1"/>
    <w:rsid w:val="00375707"/>
    <w:rsid w:val="00382716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C2A97"/>
    <w:rsid w:val="003D600A"/>
    <w:rsid w:val="003E1D82"/>
    <w:rsid w:val="003E4061"/>
    <w:rsid w:val="003E5F08"/>
    <w:rsid w:val="003E656F"/>
    <w:rsid w:val="003F4AF6"/>
    <w:rsid w:val="003F560A"/>
    <w:rsid w:val="003F5FBD"/>
    <w:rsid w:val="00401E38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2D78"/>
    <w:rsid w:val="004562D8"/>
    <w:rsid w:val="004607E4"/>
    <w:rsid w:val="00461454"/>
    <w:rsid w:val="00471FF7"/>
    <w:rsid w:val="004766C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4E475C"/>
    <w:rsid w:val="00501C26"/>
    <w:rsid w:val="005020ED"/>
    <w:rsid w:val="00503E0C"/>
    <w:rsid w:val="00510A06"/>
    <w:rsid w:val="0051450C"/>
    <w:rsid w:val="00520247"/>
    <w:rsid w:val="0052168F"/>
    <w:rsid w:val="00522BC5"/>
    <w:rsid w:val="0052332B"/>
    <w:rsid w:val="00530912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18C5"/>
    <w:rsid w:val="00562632"/>
    <w:rsid w:val="0056526A"/>
    <w:rsid w:val="005653E7"/>
    <w:rsid w:val="00567DF6"/>
    <w:rsid w:val="00572063"/>
    <w:rsid w:val="00576D77"/>
    <w:rsid w:val="00577920"/>
    <w:rsid w:val="005824AA"/>
    <w:rsid w:val="005836D7"/>
    <w:rsid w:val="005858A2"/>
    <w:rsid w:val="00587DC7"/>
    <w:rsid w:val="005973C1"/>
    <w:rsid w:val="005A17A8"/>
    <w:rsid w:val="005A27D2"/>
    <w:rsid w:val="005A3930"/>
    <w:rsid w:val="005A7E4D"/>
    <w:rsid w:val="005B7C68"/>
    <w:rsid w:val="005C6429"/>
    <w:rsid w:val="005E401A"/>
    <w:rsid w:val="005E5B6C"/>
    <w:rsid w:val="005F0559"/>
    <w:rsid w:val="005F0AFC"/>
    <w:rsid w:val="006011E5"/>
    <w:rsid w:val="00611C57"/>
    <w:rsid w:val="0061591A"/>
    <w:rsid w:val="00617102"/>
    <w:rsid w:val="00627A8C"/>
    <w:rsid w:val="00631BB4"/>
    <w:rsid w:val="00645884"/>
    <w:rsid w:val="006505B3"/>
    <w:rsid w:val="006561BA"/>
    <w:rsid w:val="00657A45"/>
    <w:rsid w:val="006613A4"/>
    <w:rsid w:val="0066167F"/>
    <w:rsid w:val="0067018D"/>
    <w:rsid w:val="006707FC"/>
    <w:rsid w:val="00673B09"/>
    <w:rsid w:val="006740DC"/>
    <w:rsid w:val="00677E30"/>
    <w:rsid w:val="00680783"/>
    <w:rsid w:val="00680FDC"/>
    <w:rsid w:val="00690484"/>
    <w:rsid w:val="00690F91"/>
    <w:rsid w:val="00693597"/>
    <w:rsid w:val="006959DA"/>
    <w:rsid w:val="006A4468"/>
    <w:rsid w:val="006B0907"/>
    <w:rsid w:val="006B717A"/>
    <w:rsid w:val="006C3007"/>
    <w:rsid w:val="006C30B5"/>
    <w:rsid w:val="006C739A"/>
    <w:rsid w:val="006C73F2"/>
    <w:rsid w:val="006C7D45"/>
    <w:rsid w:val="006D7461"/>
    <w:rsid w:val="006E0CCF"/>
    <w:rsid w:val="006E115C"/>
    <w:rsid w:val="006E4CD4"/>
    <w:rsid w:val="006E61E9"/>
    <w:rsid w:val="006F04D3"/>
    <w:rsid w:val="006F14B0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66BC8"/>
    <w:rsid w:val="00773418"/>
    <w:rsid w:val="00773492"/>
    <w:rsid w:val="00783D16"/>
    <w:rsid w:val="007862A5"/>
    <w:rsid w:val="007A0CE2"/>
    <w:rsid w:val="007A1EAB"/>
    <w:rsid w:val="007B2417"/>
    <w:rsid w:val="007B2F90"/>
    <w:rsid w:val="007B6099"/>
    <w:rsid w:val="007B7EE9"/>
    <w:rsid w:val="007C2FDA"/>
    <w:rsid w:val="007C64CD"/>
    <w:rsid w:val="007D6192"/>
    <w:rsid w:val="007D7FA8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08C9"/>
    <w:rsid w:val="00851DF1"/>
    <w:rsid w:val="008609DA"/>
    <w:rsid w:val="00867CE5"/>
    <w:rsid w:val="008721C6"/>
    <w:rsid w:val="00884FF6"/>
    <w:rsid w:val="008962FA"/>
    <w:rsid w:val="008A08B7"/>
    <w:rsid w:val="008A1DEA"/>
    <w:rsid w:val="008B2334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1B68"/>
    <w:rsid w:val="008F6924"/>
    <w:rsid w:val="008F7680"/>
    <w:rsid w:val="00901607"/>
    <w:rsid w:val="009028E4"/>
    <w:rsid w:val="00903B20"/>
    <w:rsid w:val="0090448D"/>
    <w:rsid w:val="00920078"/>
    <w:rsid w:val="00921B61"/>
    <w:rsid w:val="00922282"/>
    <w:rsid w:val="009362A2"/>
    <w:rsid w:val="00950D4E"/>
    <w:rsid w:val="0095265D"/>
    <w:rsid w:val="00954FD0"/>
    <w:rsid w:val="009625CF"/>
    <w:rsid w:val="009653C2"/>
    <w:rsid w:val="00965834"/>
    <w:rsid w:val="00967D2F"/>
    <w:rsid w:val="009740DA"/>
    <w:rsid w:val="0097666D"/>
    <w:rsid w:val="009803C0"/>
    <w:rsid w:val="009820AB"/>
    <w:rsid w:val="009846B2"/>
    <w:rsid w:val="00987E42"/>
    <w:rsid w:val="009967BE"/>
    <w:rsid w:val="009A0094"/>
    <w:rsid w:val="009A2428"/>
    <w:rsid w:val="009A364A"/>
    <w:rsid w:val="009A3E10"/>
    <w:rsid w:val="009B2707"/>
    <w:rsid w:val="009B31A5"/>
    <w:rsid w:val="009B6D8E"/>
    <w:rsid w:val="009B7C93"/>
    <w:rsid w:val="009C3252"/>
    <w:rsid w:val="009C3440"/>
    <w:rsid w:val="009D04FD"/>
    <w:rsid w:val="009D186B"/>
    <w:rsid w:val="009D4CFA"/>
    <w:rsid w:val="009D6CD0"/>
    <w:rsid w:val="009E32A8"/>
    <w:rsid w:val="009E7E40"/>
    <w:rsid w:val="00A01000"/>
    <w:rsid w:val="00A051AF"/>
    <w:rsid w:val="00A06F0D"/>
    <w:rsid w:val="00A111C4"/>
    <w:rsid w:val="00A24F86"/>
    <w:rsid w:val="00A32302"/>
    <w:rsid w:val="00A32C95"/>
    <w:rsid w:val="00A35324"/>
    <w:rsid w:val="00A359ED"/>
    <w:rsid w:val="00A42073"/>
    <w:rsid w:val="00A4399E"/>
    <w:rsid w:val="00A442E1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E6C20"/>
    <w:rsid w:val="00AF01DC"/>
    <w:rsid w:val="00AF0689"/>
    <w:rsid w:val="00AF2D2E"/>
    <w:rsid w:val="00AF5FDF"/>
    <w:rsid w:val="00AF77C2"/>
    <w:rsid w:val="00AF789C"/>
    <w:rsid w:val="00B041E0"/>
    <w:rsid w:val="00B06816"/>
    <w:rsid w:val="00B075AF"/>
    <w:rsid w:val="00B10504"/>
    <w:rsid w:val="00B112B5"/>
    <w:rsid w:val="00B1559A"/>
    <w:rsid w:val="00B22E96"/>
    <w:rsid w:val="00B25F75"/>
    <w:rsid w:val="00B37FC9"/>
    <w:rsid w:val="00B43F60"/>
    <w:rsid w:val="00B5223A"/>
    <w:rsid w:val="00B621E6"/>
    <w:rsid w:val="00B62675"/>
    <w:rsid w:val="00B717CF"/>
    <w:rsid w:val="00B749D9"/>
    <w:rsid w:val="00B83357"/>
    <w:rsid w:val="00B8598B"/>
    <w:rsid w:val="00B87A46"/>
    <w:rsid w:val="00B96407"/>
    <w:rsid w:val="00BA1596"/>
    <w:rsid w:val="00BA65FC"/>
    <w:rsid w:val="00BA74BE"/>
    <w:rsid w:val="00BB0607"/>
    <w:rsid w:val="00BB19E2"/>
    <w:rsid w:val="00BB22B2"/>
    <w:rsid w:val="00BB5F08"/>
    <w:rsid w:val="00BC39E2"/>
    <w:rsid w:val="00BC502D"/>
    <w:rsid w:val="00BC66A2"/>
    <w:rsid w:val="00BC6B1C"/>
    <w:rsid w:val="00BC7E87"/>
    <w:rsid w:val="00BD2B3F"/>
    <w:rsid w:val="00BD7A7B"/>
    <w:rsid w:val="00BE7E3B"/>
    <w:rsid w:val="00C1579D"/>
    <w:rsid w:val="00C27ABB"/>
    <w:rsid w:val="00C33B01"/>
    <w:rsid w:val="00C345B7"/>
    <w:rsid w:val="00C34B7C"/>
    <w:rsid w:val="00C42290"/>
    <w:rsid w:val="00C43A29"/>
    <w:rsid w:val="00C6023B"/>
    <w:rsid w:val="00C60D5F"/>
    <w:rsid w:val="00C737E5"/>
    <w:rsid w:val="00C75A8A"/>
    <w:rsid w:val="00C76D6A"/>
    <w:rsid w:val="00C85BFF"/>
    <w:rsid w:val="00C93456"/>
    <w:rsid w:val="00CA2A66"/>
    <w:rsid w:val="00CA5296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17875"/>
    <w:rsid w:val="00D35899"/>
    <w:rsid w:val="00D362EB"/>
    <w:rsid w:val="00D44EDF"/>
    <w:rsid w:val="00D527AB"/>
    <w:rsid w:val="00D61AA9"/>
    <w:rsid w:val="00D73D63"/>
    <w:rsid w:val="00D7482A"/>
    <w:rsid w:val="00D757E9"/>
    <w:rsid w:val="00D80BE1"/>
    <w:rsid w:val="00D95485"/>
    <w:rsid w:val="00D974C1"/>
    <w:rsid w:val="00D975A5"/>
    <w:rsid w:val="00DA2ACC"/>
    <w:rsid w:val="00DA357A"/>
    <w:rsid w:val="00DC68E9"/>
    <w:rsid w:val="00DC7D20"/>
    <w:rsid w:val="00DD1BB2"/>
    <w:rsid w:val="00DD23CD"/>
    <w:rsid w:val="00DD323C"/>
    <w:rsid w:val="00DD52E2"/>
    <w:rsid w:val="00DE218F"/>
    <w:rsid w:val="00DE21A4"/>
    <w:rsid w:val="00DE3733"/>
    <w:rsid w:val="00DE530E"/>
    <w:rsid w:val="00DE5EA2"/>
    <w:rsid w:val="00DE7357"/>
    <w:rsid w:val="00DF2E13"/>
    <w:rsid w:val="00DF456C"/>
    <w:rsid w:val="00DF7377"/>
    <w:rsid w:val="00E039FF"/>
    <w:rsid w:val="00E04D95"/>
    <w:rsid w:val="00E11F2F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D4AAB"/>
    <w:rsid w:val="00EE05B4"/>
    <w:rsid w:val="00EE176F"/>
    <w:rsid w:val="00EF165F"/>
    <w:rsid w:val="00EF770B"/>
    <w:rsid w:val="00F2165E"/>
    <w:rsid w:val="00F255D4"/>
    <w:rsid w:val="00F259A9"/>
    <w:rsid w:val="00F308D8"/>
    <w:rsid w:val="00F30B6A"/>
    <w:rsid w:val="00F32E4B"/>
    <w:rsid w:val="00F35FFD"/>
    <w:rsid w:val="00F3732D"/>
    <w:rsid w:val="00F426F5"/>
    <w:rsid w:val="00F504A2"/>
    <w:rsid w:val="00F52120"/>
    <w:rsid w:val="00F54258"/>
    <w:rsid w:val="00F54284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128F"/>
    <w:rsid w:val="00FC3129"/>
    <w:rsid w:val="00FC536B"/>
    <w:rsid w:val="00FD42D8"/>
    <w:rsid w:val="00FD4547"/>
    <w:rsid w:val="00FD670F"/>
    <w:rsid w:val="00FE02CA"/>
    <w:rsid w:val="00FE3F60"/>
    <w:rsid w:val="00FE6EE5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BC7AD87"/>
  <w15:docId w15:val="{B2D93D2A-44D5-482D-AEEA-CA36007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7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  <w:style w:type="character" w:customStyle="1" w:styleId="Heading1Char">
    <w:name w:val="Heading 1 Char"/>
    <w:link w:val="Heading1"/>
    <w:uiPriority w:val="9"/>
    <w:rsid w:val="005B7C6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47" ma:contentTypeDescription="" ma:contentTypeScope="" ma:versionID="5a5916be313396104de3cedd98dd32a0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3874a12c-cb96-46c0-a01b-e4d7e8d40966" targetNamespace="http://schemas.microsoft.com/office/2006/metadata/properties" ma:root="true" ma:fieldsID="4fca3d7c670f4284d160374a6b8eca20" ns2:_="" ns4:_="" ns5:_="">
    <xsd:import namespace="bfc2574c-8110-4e43-9784-1ee86de75c6c"/>
    <xsd:import namespace="650fffc6-a86a-4844-afad-966e4497fd3d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TaxCatchAll" ma:index="10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8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6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9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3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5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6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 xsi:nil="true"/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000000J9O2</CWRMItemUniqueId>
    <CWRMItemRecordDeclaredDate xmlns="650fffc6-a86a-4844-afad-966e4497fd3d" xsi:nil="true"/>
    <CWRMItemRecordVital xmlns="650fffc6-a86a-4844-afad-966e4497fd3d">false</CWRMItemRecordVital>
    <_dlc_DocId xmlns="bfc2574c-8110-4e43-9784-1ee86de75c6c">C6VHQNZ77UW2-1659771008-1365</_dlc_DocId>
    <_dlc_DocIdUrl xmlns="bfc2574c-8110-4e43-9784-1ee86de75c6c">
      <Url>https://share.aeso.ca/sites/records-law/LARA/_layouts/15/DocIdRedir.aspx?ID=C6VHQNZ77UW2-1659771008-1365</Url>
      <Description>C6VHQNZ77UW2-1659771008-1365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B0FD-ADA5-44E7-9E2B-A91CD082CA65}"/>
</file>

<file path=customXml/itemProps2.xml><?xml version="1.0" encoding="utf-8"?>
<ds:datastoreItem xmlns:ds="http://schemas.openxmlformats.org/officeDocument/2006/customXml" ds:itemID="{8C6D82DD-E4C0-408E-B7B9-EE80934E7AF0}"/>
</file>

<file path=customXml/itemProps3.xml><?xml version="1.0" encoding="utf-8"?>
<ds:datastoreItem xmlns:ds="http://schemas.openxmlformats.org/officeDocument/2006/customXml" ds:itemID="{E60033BB-2C75-462E-BEE3-8A828A978DDB}"/>
</file>

<file path=customXml/itemProps4.xml><?xml version="1.0" encoding="utf-8"?>
<ds:datastoreItem xmlns:ds="http://schemas.openxmlformats.org/officeDocument/2006/customXml" ds:itemID="{F343E7D7-4DB6-4367-8883-334A159B6EE2}"/>
</file>

<file path=customXml/itemProps5.xml><?xml version="1.0" encoding="utf-8"?>
<ds:datastoreItem xmlns:ds="http://schemas.openxmlformats.org/officeDocument/2006/customXml" ds:itemID="{C368DD90-D7D5-4956-9097-2C83D1B3BC2B}"/>
</file>

<file path=customXml/itemProps6.xml><?xml version="1.0" encoding="utf-8"?>
<ds:datastoreItem xmlns:ds="http://schemas.openxmlformats.org/officeDocument/2006/customXml" ds:itemID="{19D1EEAA-C113-4020-9F7B-59951F38DAD0}"/>
</file>

<file path=customXml/itemProps7.xml><?xml version="1.0" encoding="utf-8"?>
<ds:datastoreItem xmlns:ds="http://schemas.openxmlformats.org/officeDocument/2006/customXml" ds:itemID="{548F6618-35F8-44A5-851C-9598A7D9FC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762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4831</CharactersWithSpaces>
  <SharedDoc>false</SharedDoc>
  <HLinks>
    <vt:vector size="12" baseType="variant">
      <vt:variant>
        <vt:i4>5963898</vt:i4>
      </vt:variant>
      <vt:variant>
        <vt:i4>12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  <vt:variant>
        <vt:i4>5963898</vt:i4>
      </vt:variant>
      <vt:variant>
        <vt:i4>9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Alison.Desmarais@aeso.ca</dc:creator>
  <cp:keywords/>
  <cp:lastModifiedBy>Karla Anderson</cp:lastModifiedBy>
  <cp:revision>24</cp:revision>
  <cp:lastPrinted>2020-03-05T02:12:00Z</cp:lastPrinted>
  <dcterms:created xsi:type="dcterms:W3CDTF">2020-11-20T16:31:00Z</dcterms:created>
  <dcterms:modified xsi:type="dcterms:W3CDTF">2020-12-09T18:27:00Z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MultipleConsultations">
    <vt:lpwstr>0</vt:lpwstr>
  </property>
  <property fmtid="{D5CDD505-2E9C-101B-9397-08002B2CF9AE}" pid="12" name="ConsultationEndDate">
    <vt:lpwstr/>
  </property>
  <property fmtid="{D5CDD505-2E9C-101B-9397-08002B2CF9AE}" pid="13" name="ADDrafter">
    <vt:lpwstr/>
  </property>
  <property fmtid="{D5CDD505-2E9C-101B-9397-08002B2CF9AE}" pid="14" name="ProjectManager">
    <vt:lpwstr/>
  </property>
  <property fmtid="{D5CDD505-2E9C-101B-9397-08002B2CF9AE}" pid="15" name="ConsultationStartDate">
    <vt:lpwstr/>
  </property>
  <property fmtid="{D5CDD505-2E9C-101B-9397-08002B2CF9AE}" pid="16" name="ADSponsor">
    <vt:lpwstr/>
  </property>
  <property fmtid="{D5CDD505-2E9C-101B-9397-08002B2CF9AE}" pid="17" name="DocumentDate">
    <vt:lpwstr/>
  </property>
  <property fmtid="{D5CDD505-2E9C-101B-9397-08002B2CF9AE}" pid="18" name="EffectiveDate">
    <vt:lpwstr/>
  </property>
  <property fmtid="{D5CDD505-2E9C-101B-9397-08002B2CF9AE}" pid="19" name="FilingDate">
    <vt:lpwstr/>
  </property>
  <property fmtid="{D5CDD505-2E9C-101B-9397-08002B2CF9AE}" pid="20" name="CWRMItemRecordClassification">
    <vt:lpwstr>1321;#REG-00 - Tariff Development and Application Administration|a0f21eea-a95c-4984-bbc5-f702b4b89e29</vt:lpwstr>
  </property>
  <property fmtid="{D5CDD505-2E9C-101B-9397-08002B2CF9AE}" pid="21" name="CWRMItemRecordVital">
    <vt:lpwstr/>
  </property>
  <property fmtid="{D5CDD505-2E9C-101B-9397-08002B2CF9AE}" pid="22" name="Confidentiality Classification">
    <vt:lpwstr>1271;#AESO Internal|fe2129cc-e616-4c1e-9a39-b6921e014562</vt:lpwstr>
  </property>
  <property fmtid="{D5CDD505-2E9C-101B-9397-08002B2CF9AE}" pid="23" name="CWRMItemRecordCategory">
    <vt:lpwstr/>
  </property>
  <property fmtid="{D5CDD505-2E9C-101B-9397-08002B2CF9AE}" pid="24" name="CWRMItemRecordState">
    <vt:lpwstr/>
  </property>
  <property fmtid="{D5CDD505-2E9C-101B-9397-08002B2CF9AE}" pid="25" name="CWRMItemRecordStatus">
    <vt:lpwstr/>
  </property>
  <property fmtid="{D5CDD505-2E9C-101B-9397-08002B2CF9AE}" pid="26" name="CWRMItemRecordDeclaredDate">
    <vt:lpwstr/>
  </property>
  <property fmtid="{D5CDD505-2E9C-101B-9397-08002B2CF9AE}" pid="27" name="LARA Category0">
    <vt:lpwstr>1348;#Stakeholder Engagement|6220e8f1-840d-40ad-b65f-2194c8e12464</vt:lpwstr>
  </property>
  <property fmtid="{D5CDD505-2E9C-101B-9397-08002B2CF9AE}" pid="28" name="CWRMItemUniqueId">
    <vt:lpwstr>000000FCLP</vt:lpwstr>
  </property>
  <property fmtid="{D5CDD505-2E9C-101B-9397-08002B2CF9AE}" pid="29" name="_dlc_DocIdItemGuid">
    <vt:lpwstr>96e93215-9680-4be1-9dfd-b208ca40de85</vt:lpwstr>
  </property>
</Properties>
</file>