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4" w:type="pct"/>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CellMar>
          <w:left w:w="115" w:type="dxa"/>
          <w:right w:w="115" w:type="dxa"/>
        </w:tblCellMar>
        <w:tblLook w:val="0660" w:firstRow="1" w:lastRow="1" w:firstColumn="0" w:lastColumn="0" w:noHBand="1" w:noVBand="1"/>
      </w:tblPr>
      <w:tblGrid>
        <w:gridCol w:w="1883"/>
        <w:gridCol w:w="4592"/>
        <w:gridCol w:w="1530"/>
        <w:gridCol w:w="5007"/>
      </w:tblGrid>
      <w:tr w:rsidR="007851FE" w14:paraId="09D9ED5D" w14:textId="77777777" w:rsidTr="007851FE">
        <w:tc>
          <w:tcPr>
            <w:tcW w:w="723" w:type="pct"/>
            <w:noWrap/>
          </w:tcPr>
          <w:p w14:paraId="15751D44" w14:textId="6C2395DE" w:rsidR="007D60BC" w:rsidRDefault="007D60BC" w:rsidP="004719FF">
            <w:pPr>
              <w:pStyle w:val="BodyText"/>
              <w:spacing w:after="60" w:line="220" w:lineRule="exact"/>
            </w:pPr>
            <w:r>
              <w:t>Comment period:</w:t>
            </w:r>
          </w:p>
        </w:tc>
        <w:tc>
          <w:tcPr>
            <w:tcW w:w="1764" w:type="pct"/>
          </w:tcPr>
          <w:p w14:paraId="48F07BFA" w14:textId="489B9C03" w:rsidR="007D60BC" w:rsidRPr="007D60BC" w:rsidRDefault="004518F3" w:rsidP="004719FF">
            <w:pPr>
              <w:pStyle w:val="BodyText"/>
              <w:spacing w:after="60" w:line="220" w:lineRule="exact"/>
              <w:rPr>
                <w:b/>
                <w:bCs/>
              </w:rPr>
            </w:pPr>
            <w:r>
              <w:rPr>
                <w:b/>
                <w:bCs/>
              </w:rPr>
              <w:t>Dec. 16</w:t>
            </w:r>
            <w:r w:rsidR="00413832">
              <w:rPr>
                <w:b/>
                <w:bCs/>
              </w:rPr>
              <w:t>, 2021</w:t>
            </w:r>
            <w:r w:rsidR="007D60BC" w:rsidRPr="007D60BC">
              <w:rPr>
                <w:b/>
                <w:bCs/>
              </w:rPr>
              <w:t xml:space="preserve"> to </w:t>
            </w:r>
            <w:r>
              <w:rPr>
                <w:b/>
                <w:bCs/>
              </w:rPr>
              <w:t>Jan. 31, 2022</w:t>
            </w:r>
          </w:p>
        </w:tc>
        <w:tc>
          <w:tcPr>
            <w:tcW w:w="588" w:type="pct"/>
          </w:tcPr>
          <w:p w14:paraId="56EB45F5" w14:textId="59AA2E1F" w:rsidR="007D60BC" w:rsidRDefault="007D60BC" w:rsidP="004719FF">
            <w:pPr>
              <w:pStyle w:val="BodyText"/>
              <w:spacing w:after="60" w:line="220" w:lineRule="exact"/>
            </w:pPr>
            <w:r>
              <w:t>Contact:</w:t>
            </w:r>
          </w:p>
        </w:tc>
        <w:tc>
          <w:tcPr>
            <w:tcW w:w="1924" w:type="pct"/>
          </w:tcPr>
          <w:p w14:paraId="4CD105D7" w14:textId="6FBA3264" w:rsidR="007D60BC" w:rsidRDefault="007851FE" w:rsidP="004719FF">
            <w:pPr>
              <w:pStyle w:val="BodyText"/>
              <w:spacing w:after="60" w:line="220" w:lineRule="exact"/>
            </w:pPr>
            <w:r>
              <w:rPr>
                <w:szCs w:val="20"/>
              </w:rPr>
              <w:fldChar w:fldCharType="begin">
                <w:ffData>
                  <w:name w:val="Text7"/>
                  <w:enabled/>
                  <w:calcOnExit w:val="0"/>
                  <w:textInput>
                    <w:default w:val="Company Representative "/>
                  </w:textInput>
                </w:ffData>
              </w:fldChar>
            </w:r>
            <w:bookmarkStart w:id="0" w:name="Text7"/>
            <w:r>
              <w:rPr>
                <w:szCs w:val="20"/>
              </w:rPr>
              <w:instrText xml:space="preserve"> FORMTEXT </w:instrText>
            </w:r>
            <w:r>
              <w:rPr>
                <w:szCs w:val="20"/>
              </w:rPr>
            </w:r>
            <w:r>
              <w:rPr>
                <w:szCs w:val="20"/>
              </w:rPr>
              <w:fldChar w:fldCharType="separate"/>
            </w:r>
            <w:r>
              <w:rPr>
                <w:noProof/>
                <w:szCs w:val="20"/>
              </w:rPr>
              <w:t xml:space="preserve">Company Representative </w:t>
            </w:r>
            <w:r>
              <w:rPr>
                <w:szCs w:val="20"/>
              </w:rPr>
              <w:fldChar w:fldCharType="end"/>
            </w:r>
            <w:bookmarkEnd w:id="0"/>
          </w:p>
        </w:tc>
      </w:tr>
      <w:tr w:rsidR="007851FE" w14:paraId="761AE48E" w14:textId="77777777" w:rsidTr="007851FE">
        <w:tc>
          <w:tcPr>
            <w:tcW w:w="723" w:type="pct"/>
            <w:noWrap/>
          </w:tcPr>
          <w:p w14:paraId="0873BD9D" w14:textId="6E3A1375" w:rsidR="007D60BC" w:rsidRDefault="007D60BC" w:rsidP="004719FF">
            <w:pPr>
              <w:pStyle w:val="BodyText"/>
              <w:spacing w:after="60" w:line="220" w:lineRule="exact"/>
            </w:pPr>
            <w:r>
              <w:t>Comments from:</w:t>
            </w:r>
          </w:p>
        </w:tc>
        <w:tc>
          <w:tcPr>
            <w:tcW w:w="1764" w:type="pct"/>
          </w:tcPr>
          <w:p w14:paraId="5B3DE5AF" w14:textId="300EBDDF" w:rsidR="007D60BC" w:rsidRDefault="007851FE" w:rsidP="004719FF">
            <w:pPr>
              <w:pStyle w:val="BodyText"/>
              <w:spacing w:after="60" w:line="220" w:lineRule="exact"/>
            </w:pPr>
            <w:r>
              <w:rPr>
                <w:szCs w:val="20"/>
              </w:rPr>
              <w:fldChar w:fldCharType="begin">
                <w:ffData>
                  <w:name w:val="Text6"/>
                  <w:enabled/>
                  <w:calcOnExit w:val="0"/>
                  <w:textInput>
                    <w:default w:val="Company Name"/>
                  </w:textInput>
                </w:ffData>
              </w:fldChar>
            </w:r>
            <w:bookmarkStart w:id="1" w:name="Text6"/>
            <w:r>
              <w:rPr>
                <w:szCs w:val="20"/>
              </w:rPr>
              <w:instrText xml:space="preserve"> FORMTEXT </w:instrText>
            </w:r>
            <w:r>
              <w:rPr>
                <w:szCs w:val="20"/>
              </w:rPr>
            </w:r>
            <w:r>
              <w:rPr>
                <w:szCs w:val="20"/>
              </w:rPr>
              <w:fldChar w:fldCharType="separate"/>
            </w:r>
            <w:r>
              <w:rPr>
                <w:noProof/>
                <w:szCs w:val="20"/>
              </w:rPr>
              <w:t>Company Name</w:t>
            </w:r>
            <w:r>
              <w:rPr>
                <w:szCs w:val="20"/>
              </w:rPr>
              <w:fldChar w:fldCharType="end"/>
            </w:r>
            <w:bookmarkEnd w:id="1"/>
          </w:p>
        </w:tc>
        <w:tc>
          <w:tcPr>
            <w:tcW w:w="588" w:type="pct"/>
          </w:tcPr>
          <w:p w14:paraId="47E3EA17" w14:textId="70182D38" w:rsidR="007D60BC" w:rsidRDefault="007D60BC" w:rsidP="004719FF">
            <w:pPr>
              <w:pStyle w:val="BodyText"/>
              <w:spacing w:after="60" w:line="220" w:lineRule="exact"/>
            </w:pPr>
            <w:r>
              <w:t>Phone:</w:t>
            </w:r>
          </w:p>
        </w:tc>
        <w:tc>
          <w:tcPr>
            <w:tcW w:w="1924" w:type="pct"/>
          </w:tcPr>
          <w:p w14:paraId="70A14682" w14:textId="466159FF" w:rsidR="007D60BC" w:rsidRDefault="007851FE" w:rsidP="004719FF">
            <w:pPr>
              <w:pStyle w:val="BodyText"/>
              <w:spacing w:after="60" w:line="220" w:lineRule="exact"/>
            </w:pPr>
            <w:r>
              <w:rPr>
                <w:szCs w:val="20"/>
              </w:rPr>
              <w:fldChar w:fldCharType="begin">
                <w:ffData>
                  <w:name w:val="Text8"/>
                  <w:enabled/>
                  <w:calcOnExit w:val="0"/>
                  <w:textInput>
                    <w:default w:val="Contact Phone Number"/>
                  </w:textInput>
                </w:ffData>
              </w:fldChar>
            </w:r>
            <w:bookmarkStart w:id="2" w:name="Text8"/>
            <w:r>
              <w:rPr>
                <w:szCs w:val="20"/>
              </w:rPr>
              <w:instrText xml:space="preserve"> FORMTEXT </w:instrText>
            </w:r>
            <w:r>
              <w:rPr>
                <w:szCs w:val="20"/>
              </w:rPr>
            </w:r>
            <w:r>
              <w:rPr>
                <w:szCs w:val="20"/>
              </w:rPr>
              <w:fldChar w:fldCharType="separate"/>
            </w:r>
            <w:r>
              <w:rPr>
                <w:noProof/>
                <w:szCs w:val="20"/>
              </w:rPr>
              <w:t>Contact Phone Number</w:t>
            </w:r>
            <w:r>
              <w:rPr>
                <w:szCs w:val="20"/>
              </w:rPr>
              <w:fldChar w:fldCharType="end"/>
            </w:r>
            <w:bookmarkEnd w:id="2"/>
          </w:p>
        </w:tc>
      </w:tr>
      <w:tr w:rsidR="007D60BC" w14:paraId="760F2410" w14:textId="77777777" w:rsidTr="007851FE">
        <w:tc>
          <w:tcPr>
            <w:tcW w:w="723" w:type="pct"/>
            <w:noWrap/>
          </w:tcPr>
          <w:p w14:paraId="39BDC97D" w14:textId="758D1F12" w:rsidR="007D60BC" w:rsidRDefault="007D60BC" w:rsidP="004719FF">
            <w:pPr>
              <w:pStyle w:val="BodyText"/>
              <w:spacing w:after="60" w:line="220" w:lineRule="exact"/>
            </w:pPr>
            <w:r>
              <w:t>Date:</w:t>
            </w:r>
          </w:p>
        </w:tc>
        <w:tc>
          <w:tcPr>
            <w:tcW w:w="1764" w:type="pct"/>
          </w:tcPr>
          <w:p w14:paraId="40E78A71" w14:textId="51E1D9B2" w:rsidR="007D60BC" w:rsidRDefault="007851FE" w:rsidP="004719FF">
            <w:pPr>
              <w:pStyle w:val="BodyText"/>
              <w:spacing w:after="60" w:line="220" w:lineRule="exact"/>
              <w:rPr>
                <w:szCs w:val="20"/>
              </w:rPr>
            </w:pPr>
            <w:r w:rsidRPr="00405269">
              <w:rPr>
                <w:noProof/>
                <w:szCs w:val="20"/>
                <w:highlight w:val="lightGray"/>
              </w:rPr>
              <w:t>[yyyy/mm/dd]</w:t>
            </w:r>
          </w:p>
        </w:tc>
        <w:tc>
          <w:tcPr>
            <w:tcW w:w="588" w:type="pct"/>
          </w:tcPr>
          <w:p w14:paraId="0DB6D637" w14:textId="45945044" w:rsidR="007D60BC" w:rsidRDefault="007D60BC" w:rsidP="004719FF">
            <w:pPr>
              <w:pStyle w:val="BodyText"/>
              <w:spacing w:after="60" w:line="220" w:lineRule="exact"/>
            </w:pPr>
            <w:r>
              <w:t>Email:</w:t>
            </w:r>
          </w:p>
        </w:tc>
        <w:tc>
          <w:tcPr>
            <w:tcW w:w="1924" w:type="pct"/>
          </w:tcPr>
          <w:p w14:paraId="3A44A232" w14:textId="77777777" w:rsidR="007D60BC" w:rsidRPr="0061591A" w:rsidRDefault="007D60BC" w:rsidP="004719FF">
            <w:pPr>
              <w:pStyle w:val="BodyText"/>
              <w:spacing w:after="60" w:line="220" w:lineRule="exact"/>
              <w:rPr>
                <w:szCs w:val="20"/>
              </w:rPr>
            </w:pPr>
          </w:p>
        </w:tc>
      </w:tr>
    </w:tbl>
    <w:p w14:paraId="0572A95C" w14:textId="0DBD27E2" w:rsidR="007D60BC" w:rsidRDefault="007D60BC" w:rsidP="007D60BC">
      <w:pPr>
        <w:pStyle w:val="Heading2"/>
      </w:pPr>
      <w:r>
        <w:t>Instructions</w:t>
      </w:r>
    </w:p>
    <w:p w14:paraId="1AD7E81F" w14:textId="65B7F103" w:rsidR="007D60BC" w:rsidRDefault="007D60BC" w:rsidP="003E5E1C">
      <w:pPr>
        <w:pStyle w:val="BodyText"/>
        <w:numPr>
          <w:ilvl w:val="0"/>
          <w:numId w:val="12"/>
        </w:numPr>
        <w:spacing w:after="80"/>
      </w:pPr>
      <w:r>
        <w:t>Please fill out the section above as indicated.</w:t>
      </w:r>
    </w:p>
    <w:p w14:paraId="3E8D79DB" w14:textId="31338C9C" w:rsidR="0081627B" w:rsidRPr="00F97B43" w:rsidRDefault="007D60BC" w:rsidP="0081627B">
      <w:pPr>
        <w:pStyle w:val="BodyText"/>
        <w:numPr>
          <w:ilvl w:val="0"/>
          <w:numId w:val="12"/>
        </w:numPr>
        <w:spacing w:after="80"/>
      </w:pPr>
      <w:r>
        <w:t>Please respond to the questions below and provide your specific comments.</w:t>
      </w:r>
      <w:r w:rsidR="0081627B" w:rsidRPr="0081627B">
        <w:t xml:space="preserve"> </w:t>
      </w:r>
      <w:r w:rsidR="0081627B" w:rsidRPr="00F97B43">
        <w:t xml:space="preserve">We </w:t>
      </w:r>
      <w:r w:rsidR="0081627B">
        <w:t xml:space="preserve">welcome your expertise and </w:t>
      </w:r>
      <w:r w:rsidR="00132748">
        <w:t>input and</w:t>
      </w:r>
      <w:r w:rsidR="0081627B">
        <w:t xml:space="preserve"> should some of the questions not be applicable to your area of expertise please feel free to leave those responses blank</w:t>
      </w:r>
      <w:r w:rsidR="0081627B" w:rsidRPr="00F97B43">
        <w:t>.</w:t>
      </w:r>
    </w:p>
    <w:p w14:paraId="148A0D63" w14:textId="5E996A3C" w:rsidR="007D60BC" w:rsidRPr="00806405" w:rsidRDefault="007D60BC" w:rsidP="003E5E1C">
      <w:pPr>
        <w:pStyle w:val="BodyText"/>
        <w:numPr>
          <w:ilvl w:val="0"/>
          <w:numId w:val="12"/>
        </w:numPr>
        <w:spacing w:after="80"/>
      </w:pPr>
      <w:r w:rsidRPr="007D60BC">
        <w:rPr>
          <w:b/>
          <w:bCs/>
        </w:rPr>
        <w:t xml:space="preserve">Please submit one completed </w:t>
      </w:r>
      <w:r w:rsidR="00E414E4">
        <w:rPr>
          <w:b/>
          <w:bCs/>
        </w:rPr>
        <w:t xml:space="preserve">comment </w:t>
      </w:r>
      <w:r w:rsidR="005F7046">
        <w:rPr>
          <w:b/>
          <w:bCs/>
        </w:rPr>
        <w:t>matrix</w:t>
      </w:r>
      <w:r w:rsidRPr="007D60BC">
        <w:rPr>
          <w:b/>
          <w:bCs/>
        </w:rPr>
        <w:t xml:space="preserve"> per organization.</w:t>
      </w:r>
      <w:r w:rsidR="00806405">
        <w:rPr>
          <w:b/>
          <w:bCs/>
        </w:rPr>
        <w:t xml:space="preserve"> </w:t>
      </w:r>
    </w:p>
    <w:p w14:paraId="4E95A935" w14:textId="1F8ED18B" w:rsidR="00E414E4" w:rsidRPr="004518F3" w:rsidRDefault="00E414E4" w:rsidP="003E5E1C">
      <w:pPr>
        <w:pStyle w:val="BodyText"/>
        <w:numPr>
          <w:ilvl w:val="0"/>
          <w:numId w:val="12"/>
        </w:numPr>
        <w:spacing w:after="80"/>
      </w:pPr>
      <w:r w:rsidRPr="00E414E4">
        <w:rPr>
          <w:b/>
          <w:bCs/>
        </w:rPr>
        <w:t>Stakeholder comment</w:t>
      </w:r>
      <w:r>
        <w:rPr>
          <w:b/>
          <w:bCs/>
        </w:rPr>
        <w:t xml:space="preserve"> matrices</w:t>
      </w:r>
      <w:r w:rsidRPr="00E414E4">
        <w:rPr>
          <w:b/>
          <w:bCs/>
        </w:rPr>
        <w:t xml:space="preserve"> will be published </w:t>
      </w:r>
      <w:r w:rsidR="00BE3D88">
        <w:rPr>
          <w:b/>
          <w:bCs/>
        </w:rPr>
        <w:t>on</w:t>
      </w:r>
      <w:r w:rsidRPr="00E414E4">
        <w:rPr>
          <w:b/>
          <w:bCs/>
        </w:rPr>
        <w:t xml:space="preserve"> aeso.ca, in their original state</w:t>
      </w:r>
      <w:r>
        <w:rPr>
          <w:b/>
          <w:bCs/>
        </w:rPr>
        <w:t>.</w:t>
      </w:r>
    </w:p>
    <w:p w14:paraId="0F3055ED" w14:textId="3E9D682B" w:rsidR="007D60BC" w:rsidRDefault="007D60BC" w:rsidP="003E5E1C">
      <w:pPr>
        <w:pStyle w:val="BodyText"/>
        <w:numPr>
          <w:ilvl w:val="0"/>
          <w:numId w:val="12"/>
        </w:numPr>
        <w:spacing w:after="80"/>
      </w:pPr>
      <w:r>
        <w:t xml:space="preserve">Email your completed comment matrix to </w:t>
      </w:r>
      <w:hyperlink r:id="rId12" w:history="1">
        <w:r w:rsidR="004518F3" w:rsidRPr="004518F3">
          <w:rPr>
            <w:rStyle w:val="Hyperlink"/>
            <w:b/>
            <w:bCs/>
          </w:rPr>
          <w:t>forecast@aeso.ca</w:t>
        </w:r>
      </w:hyperlink>
      <w:r w:rsidRPr="004518F3">
        <w:rPr>
          <w:b/>
          <w:bCs/>
        </w:rPr>
        <w:t xml:space="preserve"> by </w:t>
      </w:r>
      <w:r w:rsidR="004518F3" w:rsidRPr="004518F3">
        <w:rPr>
          <w:b/>
          <w:bCs/>
        </w:rPr>
        <w:t>Jan. 31, 202</w:t>
      </w:r>
      <w:r w:rsidR="00A87F19">
        <w:rPr>
          <w:b/>
          <w:bCs/>
        </w:rPr>
        <w:t>2</w:t>
      </w:r>
      <w:r w:rsidRPr="004518F3">
        <w:rPr>
          <w:b/>
          <w:bCs/>
        </w:rPr>
        <w:t>.</w:t>
      </w:r>
      <w:r>
        <w:t xml:space="preserve"> </w:t>
      </w:r>
    </w:p>
    <w:p w14:paraId="656B9429" w14:textId="2967A37E" w:rsidR="00413832" w:rsidRDefault="004518F3" w:rsidP="00884CB7">
      <w:pPr>
        <w:pStyle w:val="Heading2"/>
        <w:spacing w:before="160"/>
      </w:pPr>
      <w:r>
        <w:t>Introduction</w:t>
      </w:r>
    </w:p>
    <w:p w14:paraId="6EFAAD86" w14:textId="78ECFBC8" w:rsidR="00413832" w:rsidRDefault="004518F3" w:rsidP="00A42B58">
      <w:pPr>
        <w:pStyle w:val="BodyText"/>
      </w:pPr>
      <w:r w:rsidRPr="004518F3">
        <w:t xml:space="preserve">Given the strong interest by stakeholders in potential pathways to a net-zero electricity grid by 2035, the AESO will be building upon the Clean-Tech Scenario of the </w:t>
      </w:r>
      <w:r w:rsidRPr="00D6438F">
        <w:rPr>
          <w:i/>
          <w:iCs/>
        </w:rPr>
        <w:t>2021 Long-term Outlook</w:t>
      </w:r>
      <w:r>
        <w:t xml:space="preserve"> (L</w:t>
      </w:r>
      <w:r w:rsidRPr="004518F3">
        <w:t>TO</w:t>
      </w:r>
      <w:r>
        <w:t>)</w:t>
      </w:r>
      <w:r w:rsidRPr="004518F3">
        <w:t xml:space="preserve"> in an effort to provide further insights to our stakeholders. A driver for such analysis is that the potential transformation of the Alberta electricity system may occur at a faster pace and may involve technologies not considered in the 2021 LTO. Furthermore, this analysis will consider the technology review from the </w:t>
      </w:r>
      <w:r w:rsidRPr="00D6438F">
        <w:rPr>
          <w:i/>
          <w:iCs/>
        </w:rPr>
        <w:t>AESO 2021 Technology Forward Publication</w:t>
      </w:r>
      <w:r w:rsidRPr="004518F3">
        <w:t xml:space="preserve"> and the AESO Technology Summit 2021 – Power Tomorrow. The</w:t>
      </w:r>
      <w:r>
        <w:t xml:space="preserve"> </w:t>
      </w:r>
      <w:r w:rsidRPr="004518F3">
        <w:t xml:space="preserve">net-zero </w:t>
      </w:r>
      <w:r w:rsidR="00ED386E">
        <w:t xml:space="preserve">pathways </w:t>
      </w:r>
      <w:r w:rsidRPr="004518F3">
        <w:t xml:space="preserve">analysis will inform </w:t>
      </w:r>
      <w:r w:rsidR="00ED386E">
        <w:t xml:space="preserve">and influence </w:t>
      </w:r>
      <w:r w:rsidRPr="004518F3">
        <w:t xml:space="preserve">future </w:t>
      </w:r>
      <w:r w:rsidR="00A87F19">
        <w:t>l</w:t>
      </w:r>
      <w:r w:rsidRPr="004518F3">
        <w:t xml:space="preserve">ong-term </w:t>
      </w:r>
      <w:r w:rsidR="00A87F19">
        <w:t>o</w:t>
      </w:r>
      <w:r w:rsidRPr="004518F3">
        <w:t>utlooks.</w:t>
      </w:r>
      <w:r w:rsidR="007D60BC">
        <w:t xml:space="preserve"> </w:t>
      </w:r>
    </w:p>
    <w:p w14:paraId="0DCAC491" w14:textId="47114AE9" w:rsidR="00211DCA" w:rsidRDefault="00A42B58" w:rsidP="00A42B58">
      <w:pPr>
        <w:pStyle w:val="BodyText"/>
      </w:pPr>
      <w:r w:rsidRPr="00A42B58">
        <w:t>In 2022, the AESO will examine potential pathways to achieve a net-zero greenhouse gas emissions electricity sector in Alberta and the market, operational and cost implications of these pathways.</w:t>
      </w:r>
      <w:r w:rsidR="00211DCA" w:rsidRPr="00211DCA">
        <w:t xml:space="preserve"> </w:t>
      </w:r>
      <w:r w:rsidR="00211DCA" w:rsidRPr="00A42B58">
        <w:t>The AESO intends to review and understand the most prominent zero and low-carbon emissions technologies, their cost and performance characteristics, and their impact to the grid, such that policy objectives may be achieved while minimizing disruptions to the existing market framework and maintaining a reliable electric system.</w:t>
      </w:r>
      <w:r w:rsidR="00211DCA">
        <w:t xml:space="preserve"> </w:t>
      </w:r>
      <w:r w:rsidRPr="00A42B58">
        <w:t xml:space="preserve"> </w:t>
      </w:r>
    </w:p>
    <w:p w14:paraId="4E77201A" w14:textId="7873CEA0" w:rsidR="00A42B58" w:rsidRDefault="00A42B58" w:rsidP="00A42B58">
      <w:pPr>
        <w:pStyle w:val="BodyText"/>
      </w:pPr>
      <w:r w:rsidRPr="00A42B58">
        <w:t xml:space="preserve">Alberta’s electricity generation fleet has undergone significant transformation. Formerly a greenhouse gas intensive, primarily coal-fired generation fleet, Alberta’s generation infrastructure has been converted and replaced with cleaner, less emissions intensive natural gas and renewable generation technology. Throughout this transformation, emissions have been reduced significantly, yet the AESO estimates that approximately 15Mt of emissions attributed to the electricity sector would need to be reduced by 2035 in order to achieve zero emissions. Placing a cost on carbon emissions via carbon taxes, and incentivization of clean generation via legislation and environmental and social governance practices have resulted in a significantly less carbon intensive electricity generation sector in Alberta. Further decarbonization ambitions have been announced by Canadian policymakers and industrial leaders intending to implement a </w:t>
      </w:r>
      <w:r>
        <w:t>net-zero</w:t>
      </w:r>
      <w:r w:rsidRPr="00A42B58">
        <w:t xml:space="preserve"> emissions electricity generation target by 2035.</w:t>
      </w:r>
    </w:p>
    <w:p w14:paraId="58EC300D" w14:textId="40BB0079" w:rsidR="00A42B58" w:rsidRDefault="00A42B58" w:rsidP="00A42B58">
      <w:pPr>
        <w:pStyle w:val="BodyText"/>
      </w:pPr>
      <w:r w:rsidRPr="00A42B58">
        <w:lastRenderedPageBreak/>
        <w:t xml:space="preserve">Electrification of high-emitting sectors and energy efficiency will also be key drivers along a pathway to net-zero outcomes. </w:t>
      </w:r>
      <w:r w:rsidRPr="0013417C">
        <w:t xml:space="preserve">Mandates </w:t>
      </w:r>
      <w:r w:rsidR="00D6438F" w:rsidRPr="0013417C">
        <w:t xml:space="preserve">have been proposed </w:t>
      </w:r>
      <w:r w:rsidR="00184E39" w:rsidRPr="0013417C">
        <w:t>for</w:t>
      </w:r>
      <w:r w:rsidRPr="0013417C">
        <w:t xml:space="preserve"> zero-emission vehicles</w:t>
      </w:r>
      <w:r w:rsidR="00184E39" w:rsidRPr="0013417C">
        <w:t>,</w:t>
      </w:r>
      <w:r w:rsidRPr="0013417C">
        <w:t xml:space="preserve"> mentioned in the most recent federal election campaign and subsequent throne speech pledge</w:t>
      </w:r>
      <w:r w:rsidR="00184E39" w:rsidRPr="0013417C">
        <w:t>,</w:t>
      </w:r>
      <w:r w:rsidRPr="0013417C">
        <w:t xml:space="preserve"> requiring at least half of all passenger vehicles sold in Canada be zero emission by 2030, reaching 100 percent in 2035</w:t>
      </w:r>
      <w:r w:rsidRPr="00184E39">
        <w:t>. Support</w:t>
      </w:r>
      <w:r w:rsidRPr="00A42B58">
        <w:t xml:space="preserve"> from various levels of government around energy efficiency from Emissions Reduction Alberta’s Energy </w:t>
      </w:r>
      <w:r>
        <w:t>S</w:t>
      </w:r>
      <w:r w:rsidRPr="00A42B58">
        <w:t xml:space="preserve">avings for Business to the federal Canada Greener Homes Grants are anticipated to continue to grow and support the electrification transition, which will drive additional emissions reductions economy wide. </w:t>
      </w:r>
    </w:p>
    <w:p w14:paraId="21ADDE73" w14:textId="6A2AC48A" w:rsidR="00167AE6" w:rsidRDefault="00167AE6" w:rsidP="00167AE6">
      <w:pPr>
        <w:pStyle w:val="BodyText"/>
        <w:spacing w:line="240" w:lineRule="auto"/>
        <w:jc w:val="center"/>
      </w:pPr>
      <w:r>
        <w:rPr>
          <w:noProof/>
        </w:rPr>
        <w:drawing>
          <wp:inline distT="0" distB="0" distL="0" distR="0" wp14:anchorId="0948C0D9" wp14:editId="7C624B4A">
            <wp:extent cx="5058888" cy="32588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77" cy="3281859"/>
                    </a:xfrm>
                    <a:prstGeom prst="rect">
                      <a:avLst/>
                    </a:prstGeom>
                    <a:noFill/>
                  </pic:spPr>
                </pic:pic>
              </a:graphicData>
            </a:graphic>
          </wp:inline>
        </w:drawing>
      </w:r>
    </w:p>
    <w:p w14:paraId="500CE407" w14:textId="77777777" w:rsidR="004518F3" w:rsidRDefault="004518F3" w:rsidP="004518F3">
      <w:pPr>
        <w:pStyle w:val="Heading2"/>
        <w:spacing w:before="160"/>
      </w:pPr>
      <w:r>
        <w:t>Request for feedback</w:t>
      </w:r>
    </w:p>
    <w:p w14:paraId="28E971B3" w14:textId="00A28EBC" w:rsidR="008F5F8F" w:rsidRDefault="008F5F8F" w:rsidP="00843929">
      <w:pPr>
        <w:pStyle w:val="BodyText"/>
      </w:pPr>
      <w:r>
        <w:t>The AESO is seeking feedb</w:t>
      </w:r>
      <w:r w:rsidRPr="004710DC">
        <w:t xml:space="preserve">ack from interested stakeholders on their perspectives as it relates to the </w:t>
      </w:r>
      <w:r>
        <w:t>scope and input assumptions of the proposed net-zero emissions pathways analysis</w:t>
      </w:r>
      <w:r w:rsidRPr="004710DC">
        <w:t>.</w:t>
      </w:r>
      <w:r>
        <w:t xml:space="preserve"> Please be as specific as possible with your responses. Thank you.</w:t>
      </w:r>
    </w:p>
    <w:p w14:paraId="61DC0085" w14:textId="497C19DC" w:rsidR="004518F3" w:rsidRDefault="008F5F8F" w:rsidP="00843929">
      <w:pPr>
        <w:pStyle w:val="BodyText"/>
      </w:pPr>
      <w:r w:rsidRPr="00167AE6">
        <w:t xml:space="preserve">Stakeholder engagement, dialogue, and feedback will be key to framing the AESO’s analysis and calibrating modeling parameters to ensure that the information provided to stakeholders via this analysis is valuable. The AESO would like to thank stakeholders </w:t>
      </w:r>
      <w:r>
        <w:t xml:space="preserve">in advance </w:t>
      </w:r>
      <w:r w:rsidRPr="00167AE6">
        <w:t>for their ideas, thoughts, and perspectives related to electric system decarbonization in Alberta.</w:t>
      </w:r>
    </w:p>
    <w:tbl>
      <w:tblPr>
        <w:tblW w:w="13024" w:type="dxa"/>
        <w:tblBorders>
          <w:top w:val="single" w:sz="8" w:space="0" w:color="00407A"/>
          <w:bottom w:val="single" w:sz="8" w:space="0" w:color="00407A"/>
          <w:insideH w:val="single" w:sz="8" w:space="0" w:color="00407A"/>
          <w:insideV w:val="single" w:sz="8" w:space="0" w:color="00407A"/>
        </w:tblBorders>
        <w:tblLayout w:type="fixed"/>
        <w:tblLook w:val="0660" w:firstRow="1" w:lastRow="1" w:firstColumn="0" w:lastColumn="0" w:noHBand="1" w:noVBand="1"/>
      </w:tblPr>
      <w:tblGrid>
        <w:gridCol w:w="360"/>
        <w:gridCol w:w="5850"/>
        <w:gridCol w:w="6814"/>
      </w:tblGrid>
      <w:tr w:rsidR="000C2818" w14:paraId="212CF77A" w14:textId="77777777" w:rsidTr="00A60E76">
        <w:trPr>
          <w:tblHeader/>
        </w:trPr>
        <w:tc>
          <w:tcPr>
            <w:tcW w:w="360" w:type="dxa"/>
            <w:tcBorders>
              <w:top w:val="single" w:sz="8" w:space="0" w:color="00477F"/>
              <w:left w:val="nil"/>
              <w:bottom w:val="single" w:sz="4" w:space="0" w:color="auto"/>
              <w:right w:val="single" w:sz="8" w:space="0" w:color="00477F"/>
            </w:tcBorders>
            <w:shd w:val="clear" w:color="auto" w:fill="00477F"/>
            <w:noWrap/>
          </w:tcPr>
          <w:p w14:paraId="388E7306" w14:textId="0BC7CD12" w:rsidR="009C5275" w:rsidRPr="006B4943" w:rsidRDefault="009C5275" w:rsidP="00486E2B">
            <w:pPr>
              <w:pStyle w:val="BodyText"/>
              <w:spacing w:after="60" w:line="220" w:lineRule="exact"/>
              <w:rPr>
                <w:b/>
              </w:rPr>
            </w:pPr>
          </w:p>
        </w:tc>
        <w:tc>
          <w:tcPr>
            <w:tcW w:w="5850" w:type="dxa"/>
            <w:tcBorders>
              <w:top w:val="single" w:sz="8" w:space="0" w:color="00477F"/>
              <w:left w:val="single" w:sz="8" w:space="0" w:color="00477F"/>
              <w:bottom w:val="single" w:sz="4" w:space="0" w:color="auto"/>
              <w:right w:val="single" w:sz="8" w:space="0" w:color="00477F"/>
            </w:tcBorders>
            <w:shd w:val="clear" w:color="auto" w:fill="00477F"/>
          </w:tcPr>
          <w:p w14:paraId="4BDF8C0A" w14:textId="53E8245C" w:rsidR="009C5275" w:rsidRPr="006B4943" w:rsidRDefault="007D60BC" w:rsidP="00486E2B">
            <w:pPr>
              <w:pStyle w:val="BodyText"/>
              <w:spacing w:after="60" w:line="220" w:lineRule="exact"/>
              <w:rPr>
                <w:b/>
              </w:rPr>
            </w:pPr>
            <w:r>
              <w:rPr>
                <w:b/>
              </w:rPr>
              <w:t>Questions</w:t>
            </w:r>
          </w:p>
        </w:tc>
        <w:tc>
          <w:tcPr>
            <w:tcW w:w="6814" w:type="dxa"/>
            <w:tcBorders>
              <w:top w:val="single" w:sz="8" w:space="0" w:color="00477F"/>
              <w:left w:val="single" w:sz="8" w:space="0" w:color="00477F"/>
              <w:bottom w:val="single" w:sz="4" w:space="0" w:color="auto"/>
              <w:right w:val="nil"/>
            </w:tcBorders>
            <w:shd w:val="clear" w:color="auto" w:fill="00477F"/>
          </w:tcPr>
          <w:p w14:paraId="5A0C33D2" w14:textId="2FEDCF26" w:rsidR="009C5275" w:rsidRPr="006B4943" w:rsidRDefault="007D60BC" w:rsidP="00486E2B">
            <w:pPr>
              <w:pStyle w:val="BodyText"/>
              <w:spacing w:after="60" w:line="220" w:lineRule="exact"/>
              <w:rPr>
                <w:b/>
              </w:rPr>
            </w:pPr>
            <w:r>
              <w:rPr>
                <w:b/>
              </w:rPr>
              <w:t>Stakeholder Comments</w:t>
            </w:r>
          </w:p>
        </w:tc>
      </w:tr>
      <w:tr w:rsidR="00E828B6" w14:paraId="539BB851" w14:textId="77777777" w:rsidTr="00E828B6">
        <w:tc>
          <w:tcPr>
            <w:tcW w:w="360" w:type="dxa"/>
            <w:vMerge w:val="restart"/>
            <w:tcBorders>
              <w:top w:val="single" w:sz="4" w:space="0" w:color="auto"/>
              <w:left w:val="single" w:sz="4" w:space="0" w:color="auto"/>
              <w:right w:val="single" w:sz="4" w:space="0" w:color="auto"/>
            </w:tcBorders>
            <w:noWrap/>
          </w:tcPr>
          <w:p w14:paraId="08BDADE9" w14:textId="60387625" w:rsidR="00E828B6" w:rsidRPr="00A87F19" w:rsidRDefault="00E828B6" w:rsidP="00044789">
            <w:pPr>
              <w:pStyle w:val="BodyText"/>
              <w:spacing w:before="120" w:after="80" w:line="240" w:lineRule="auto"/>
              <w:ind w:left="-115"/>
              <w:jc w:val="center"/>
              <w:rPr>
                <w:b/>
                <w:i/>
                <w:color w:val="00407A"/>
                <w:szCs w:val="20"/>
              </w:rPr>
            </w:pPr>
            <w:r w:rsidRPr="00A87F19">
              <w:rPr>
                <w:b/>
                <w:i/>
                <w:color w:val="00407A"/>
                <w:szCs w:val="20"/>
              </w:rPr>
              <w:t>1</w:t>
            </w:r>
          </w:p>
        </w:tc>
        <w:tc>
          <w:tcPr>
            <w:tcW w:w="12664" w:type="dxa"/>
            <w:gridSpan w:val="2"/>
            <w:tcBorders>
              <w:top w:val="single" w:sz="4" w:space="0" w:color="auto"/>
              <w:left w:val="single" w:sz="4" w:space="0" w:color="auto"/>
              <w:bottom w:val="single" w:sz="4" w:space="0" w:color="auto"/>
              <w:right w:val="single" w:sz="4" w:space="0" w:color="auto"/>
            </w:tcBorders>
          </w:tcPr>
          <w:p w14:paraId="58E85562" w14:textId="77777777" w:rsidR="00E828B6" w:rsidRPr="00A87F19" w:rsidRDefault="00E828B6" w:rsidP="002F35F3">
            <w:pPr>
              <w:pStyle w:val="Heading3"/>
              <w:spacing w:after="120"/>
            </w:pPr>
            <w:r w:rsidRPr="00A87F19">
              <w:t>Net-Zero Analysis Scope</w:t>
            </w:r>
          </w:p>
          <w:p w14:paraId="2D268536" w14:textId="0645C02B" w:rsidR="00D6438F" w:rsidRPr="00EB097B" w:rsidRDefault="00D6438F" w:rsidP="0013417C">
            <w:pPr>
              <w:pStyle w:val="BodyText"/>
              <w:spacing w:after="120" w:line="240" w:lineRule="auto"/>
            </w:pPr>
            <w:r>
              <w:t>The AESO intends to produce the first AESO Net-Zero Emissions Electricity System Pathways report, to be published in June 2022. The AESO’s Pathways report will describe potential decarbonization pathways that can lead to a net-zero emissions electricity sector in Alberta by 2035. The report will include evaluation of supply-and-demand scenarios, which can result in decarbonization of the electricity system, and electrification of other emissions-intensive sectors. The initial report will review potential supply mix, market, supply adequacy and high-level cost implications. The report will not examine the full range of all potential operational impacts and related mitigation measures, the specific impact to consumers or provide quantitative analysis of all identified pathways. Subsequent analysis and reporting may focus on these more detailed metrics.</w:t>
            </w:r>
          </w:p>
          <w:p w14:paraId="4D9160D7" w14:textId="77777777" w:rsidR="00E828B6" w:rsidRDefault="00E828B6" w:rsidP="0013417C">
            <w:pPr>
              <w:pStyle w:val="BodyText"/>
              <w:spacing w:after="0" w:line="240" w:lineRule="auto"/>
            </w:pPr>
            <w:r>
              <w:t>The AESO intends to review load and generation scenarios that reflect current trends in decarbonization, with the intention of illustrating possible pathways to net zero. With respect to supply the AESO intends to review two net-zero emissions generation supply scenarios in greater quantitative detail to gain further insight on potential market and operational implications. These are:</w:t>
            </w:r>
          </w:p>
          <w:p w14:paraId="5D3CEBF3" w14:textId="77777777" w:rsidR="00E828B6" w:rsidRDefault="00E828B6" w:rsidP="0013417C">
            <w:pPr>
              <w:pStyle w:val="BodyText"/>
              <w:numPr>
                <w:ilvl w:val="0"/>
                <w:numId w:val="13"/>
              </w:numPr>
              <w:spacing w:after="0" w:line="240" w:lineRule="auto"/>
            </w:pPr>
            <w:r>
              <w:t>Renewables paired with energy storage; and</w:t>
            </w:r>
          </w:p>
          <w:p w14:paraId="0534ACF0" w14:textId="3510264A" w:rsidR="00E828B6" w:rsidRDefault="00E828B6">
            <w:pPr>
              <w:pStyle w:val="BodyText"/>
              <w:numPr>
                <w:ilvl w:val="0"/>
                <w:numId w:val="13"/>
              </w:numPr>
              <w:spacing w:after="120" w:line="240" w:lineRule="auto"/>
            </w:pPr>
            <w:r>
              <w:t xml:space="preserve">An economically driven </w:t>
            </w:r>
            <w:r w:rsidR="00661B5A">
              <w:t xml:space="preserve">generation </w:t>
            </w:r>
            <w:r>
              <w:t xml:space="preserve">resource addition scenario </w:t>
            </w:r>
            <w:r w:rsidR="00661B5A">
              <w:t>that considers a range of potential zero-emission sources, such as those</w:t>
            </w:r>
            <w:r>
              <w:t xml:space="preserve"> technologies listed in </w:t>
            </w:r>
            <w:r w:rsidRPr="00C14D86">
              <w:t>section 6,</w:t>
            </w:r>
            <w:r>
              <w:t xml:space="preserve"> below.</w:t>
            </w:r>
          </w:p>
          <w:p w14:paraId="083AD220" w14:textId="6EB28256" w:rsidR="00E828B6" w:rsidRDefault="00E828B6">
            <w:pPr>
              <w:pStyle w:val="BodyText"/>
              <w:spacing w:after="120" w:line="240" w:lineRule="auto"/>
            </w:pPr>
            <w:r w:rsidRPr="0013417C">
              <w:t>With respect to demand</w:t>
            </w:r>
            <w:r>
              <w:t>, the AESO intends to produce scenarios incorporating the impacts of significant electrification of transportation, buildings, and industrial activities</w:t>
            </w:r>
            <w:r w:rsidR="00661B5A">
              <w:t>, as well as the potential impact of demand-side management and energy efficiency initiatives</w:t>
            </w:r>
            <w:r>
              <w:t>.</w:t>
            </w:r>
          </w:p>
        </w:tc>
      </w:tr>
      <w:tr w:rsidR="00E828B6" w14:paraId="749BCE7F" w14:textId="77777777" w:rsidTr="00A60E76">
        <w:tc>
          <w:tcPr>
            <w:tcW w:w="360" w:type="dxa"/>
            <w:vMerge/>
            <w:tcBorders>
              <w:left w:val="single" w:sz="4" w:space="0" w:color="auto"/>
              <w:right w:val="single" w:sz="4" w:space="0" w:color="auto"/>
            </w:tcBorders>
            <w:noWrap/>
          </w:tcPr>
          <w:p w14:paraId="683FAE8E" w14:textId="77777777" w:rsidR="00E828B6" w:rsidRDefault="00E828B6" w:rsidP="004719FF">
            <w:pPr>
              <w:pStyle w:val="BodyText"/>
              <w:spacing w:before="80" w:after="80" w:line="220" w:lineRule="exact"/>
            </w:pPr>
          </w:p>
        </w:tc>
        <w:tc>
          <w:tcPr>
            <w:tcW w:w="5850" w:type="dxa"/>
            <w:tcBorders>
              <w:top w:val="single" w:sz="4" w:space="0" w:color="auto"/>
              <w:left w:val="single" w:sz="4" w:space="0" w:color="auto"/>
              <w:bottom w:val="single" w:sz="4" w:space="0" w:color="auto"/>
              <w:right w:val="single" w:sz="4" w:space="0" w:color="auto"/>
            </w:tcBorders>
          </w:tcPr>
          <w:p w14:paraId="6E1876F8" w14:textId="2DE0B4E9" w:rsidR="00E828B6" w:rsidRPr="00A31F12" w:rsidRDefault="00E828B6" w:rsidP="003E5E1C">
            <w:pPr>
              <w:pStyle w:val="BodyText"/>
              <w:numPr>
                <w:ilvl w:val="0"/>
                <w:numId w:val="14"/>
              </w:numPr>
              <w:spacing w:before="120" w:after="120" w:line="240" w:lineRule="auto"/>
              <w:ind w:left="348" w:hanging="348"/>
            </w:pPr>
            <w:r w:rsidRPr="00E828B6">
              <w:t>Is there any feedback that you would like to provide to the AESO with respect to the intended scenarios and analysis?</w:t>
            </w:r>
          </w:p>
        </w:tc>
        <w:tc>
          <w:tcPr>
            <w:tcW w:w="6814" w:type="dxa"/>
            <w:tcBorders>
              <w:top w:val="single" w:sz="4" w:space="0" w:color="auto"/>
              <w:left w:val="single" w:sz="4" w:space="0" w:color="auto"/>
              <w:bottom w:val="single" w:sz="4" w:space="0" w:color="auto"/>
              <w:right w:val="single" w:sz="4" w:space="0" w:color="auto"/>
            </w:tcBorders>
          </w:tcPr>
          <w:p w14:paraId="3B98EBD3" w14:textId="77777777" w:rsidR="00E828B6" w:rsidRDefault="00E828B6" w:rsidP="002F35F3">
            <w:pPr>
              <w:pStyle w:val="BodyText"/>
              <w:spacing w:after="120" w:line="240" w:lineRule="auto"/>
            </w:pPr>
          </w:p>
        </w:tc>
      </w:tr>
      <w:tr w:rsidR="00E828B6" w14:paraId="5744D430" w14:textId="77777777" w:rsidTr="00A60E76">
        <w:tc>
          <w:tcPr>
            <w:tcW w:w="360" w:type="dxa"/>
            <w:vMerge/>
            <w:tcBorders>
              <w:left w:val="single" w:sz="4" w:space="0" w:color="auto"/>
              <w:bottom w:val="single" w:sz="4" w:space="0" w:color="auto"/>
              <w:right w:val="single" w:sz="4" w:space="0" w:color="auto"/>
            </w:tcBorders>
            <w:noWrap/>
          </w:tcPr>
          <w:p w14:paraId="472ACE37" w14:textId="77777777" w:rsidR="00E828B6" w:rsidRDefault="00E828B6" w:rsidP="004719FF">
            <w:pPr>
              <w:pStyle w:val="BodyText"/>
              <w:spacing w:before="80" w:after="80" w:line="220" w:lineRule="exact"/>
            </w:pPr>
          </w:p>
        </w:tc>
        <w:tc>
          <w:tcPr>
            <w:tcW w:w="5850" w:type="dxa"/>
            <w:tcBorders>
              <w:top w:val="single" w:sz="4" w:space="0" w:color="auto"/>
              <w:left w:val="single" w:sz="4" w:space="0" w:color="auto"/>
              <w:bottom w:val="single" w:sz="4" w:space="0" w:color="auto"/>
              <w:right w:val="single" w:sz="4" w:space="0" w:color="auto"/>
            </w:tcBorders>
          </w:tcPr>
          <w:p w14:paraId="50360007" w14:textId="16065706" w:rsidR="00994DC0" w:rsidRPr="00A31F12" w:rsidRDefault="00E828B6" w:rsidP="003E5E1C">
            <w:pPr>
              <w:pStyle w:val="BodyText"/>
              <w:numPr>
                <w:ilvl w:val="0"/>
                <w:numId w:val="14"/>
              </w:numPr>
              <w:spacing w:before="120" w:after="120" w:line="240" w:lineRule="auto"/>
              <w:ind w:left="348" w:hanging="348"/>
            </w:pPr>
            <w:r w:rsidRPr="00E828B6">
              <w:t>What might be the largest challenges as well as the areas most impacted within the Alberta electric system on a path to net-zero?</w:t>
            </w:r>
          </w:p>
        </w:tc>
        <w:tc>
          <w:tcPr>
            <w:tcW w:w="6814" w:type="dxa"/>
            <w:tcBorders>
              <w:top w:val="single" w:sz="4" w:space="0" w:color="auto"/>
              <w:left w:val="single" w:sz="4" w:space="0" w:color="auto"/>
              <w:bottom w:val="single" w:sz="4" w:space="0" w:color="auto"/>
              <w:right w:val="single" w:sz="4" w:space="0" w:color="auto"/>
            </w:tcBorders>
          </w:tcPr>
          <w:p w14:paraId="42ABE389" w14:textId="77777777" w:rsidR="00E828B6" w:rsidRDefault="00E828B6" w:rsidP="002F35F3">
            <w:pPr>
              <w:pStyle w:val="BodyText"/>
              <w:spacing w:after="120" w:line="240" w:lineRule="auto"/>
            </w:pPr>
          </w:p>
        </w:tc>
      </w:tr>
      <w:tr w:rsidR="002F35F3" w:rsidRPr="006E05AF" w14:paraId="2AB22C10" w14:textId="77777777" w:rsidTr="002F35F3">
        <w:tc>
          <w:tcPr>
            <w:tcW w:w="360" w:type="dxa"/>
            <w:vMerge w:val="restart"/>
            <w:tcBorders>
              <w:top w:val="single" w:sz="4" w:space="0" w:color="auto"/>
              <w:left w:val="single" w:sz="4" w:space="0" w:color="auto"/>
              <w:bottom w:val="single" w:sz="4" w:space="0" w:color="auto"/>
              <w:right w:val="single" w:sz="4" w:space="0" w:color="auto"/>
            </w:tcBorders>
            <w:noWrap/>
          </w:tcPr>
          <w:p w14:paraId="0DF6E183" w14:textId="3600E1FB" w:rsidR="002F35F3" w:rsidRPr="00A87F19" w:rsidRDefault="002F35F3" w:rsidP="00D263C2">
            <w:pPr>
              <w:pStyle w:val="Heading3"/>
              <w:spacing w:after="120"/>
            </w:pPr>
            <w:r w:rsidRPr="00A87F19">
              <w:t>2</w:t>
            </w:r>
          </w:p>
        </w:tc>
        <w:tc>
          <w:tcPr>
            <w:tcW w:w="5850" w:type="dxa"/>
            <w:tcBorders>
              <w:top w:val="single" w:sz="4" w:space="0" w:color="auto"/>
              <w:left w:val="single" w:sz="4" w:space="0" w:color="auto"/>
              <w:bottom w:val="single" w:sz="4" w:space="0" w:color="auto"/>
              <w:right w:val="single" w:sz="4" w:space="0" w:color="auto"/>
            </w:tcBorders>
          </w:tcPr>
          <w:p w14:paraId="13B29062" w14:textId="62E86C0A" w:rsidR="002F35F3" w:rsidRPr="00A87F19" w:rsidRDefault="002F35F3" w:rsidP="0013417C">
            <w:pPr>
              <w:pStyle w:val="Heading3"/>
            </w:pPr>
            <w:r w:rsidRPr="00A87F19">
              <w:t>Macroeconomic Context</w:t>
            </w:r>
          </w:p>
          <w:p w14:paraId="0C99BC28" w14:textId="0F06D1FD" w:rsidR="002F35F3" w:rsidRPr="00E828B6" w:rsidRDefault="002F35F3" w:rsidP="002F35F3">
            <w:pPr>
              <w:tabs>
                <w:tab w:val="clear" w:pos="720"/>
              </w:tabs>
              <w:spacing w:before="60" w:line="240" w:lineRule="auto"/>
              <w:jc w:val="left"/>
              <w:textAlignment w:val="center"/>
              <w:rPr>
                <w:rFonts w:cs="Arial"/>
                <w:sz w:val="18"/>
                <w:szCs w:val="18"/>
              </w:rPr>
            </w:pPr>
            <w:r w:rsidRPr="00E828B6">
              <w:rPr>
                <w:rFonts w:cs="Arial"/>
                <w:szCs w:val="20"/>
              </w:rPr>
              <w:t>The current economic outlook shows Alberta growing at an average of nearly five per cent in the near-term and returning to a long-term trend of slightly over two per cent.</w:t>
            </w:r>
            <w:r>
              <w:rPr>
                <w:rStyle w:val="FootnoteReference"/>
                <w:rFonts w:cs="Arial"/>
                <w:sz w:val="18"/>
                <w:szCs w:val="18"/>
              </w:rPr>
              <w:footnoteReference w:id="2"/>
            </w:r>
            <w:r w:rsidRPr="00E828B6">
              <w:rPr>
                <w:rFonts w:cs="Arial"/>
                <w:sz w:val="18"/>
                <w:szCs w:val="18"/>
              </w:rPr>
              <w:t xml:space="preserve"> </w:t>
            </w:r>
          </w:p>
          <w:p w14:paraId="5336276B" w14:textId="2B96385D" w:rsidR="002F35F3" w:rsidRPr="006E05AF" w:rsidRDefault="002F35F3" w:rsidP="003E5E1C">
            <w:pPr>
              <w:pStyle w:val="BodyText"/>
              <w:numPr>
                <w:ilvl w:val="0"/>
                <w:numId w:val="15"/>
              </w:numPr>
              <w:spacing w:after="120" w:line="240" w:lineRule="auto"/>
              <w:ind w:left="348" w:hanging="348"/>
            </w:pPr>
            <w:r w:rsidRPr="006E05AF">
              <w:t xml:space="preserve">What is your view on the economic impact of expected net-zero targets on this </w:t>
            </w:r>
            <w:r w:rsidR="009D157D" w:rsidRPr="006E05AF">
              <w:t>business-as-usual</w:t>
            </w:r>
            <w:r w:rsidRPr="006E05AF">
              <w:t xml:space="preserve"> scenario?</w:t>
            </w:r>
          </w:p>
        </w:tc>
        <w:tc>
          <w:tcPr>
            <w:tcW w:w="6814" w:type="dxa"/>
            <w:tcBorders>
              <w:top w:val="single" w:sz="4" w:space="0" w:color="auto"/>
              <w:left w:val="single" w:sz="4" w:space="0" w:color="auto"/>
              <w:bottom w:val="single" w:sz="4" w:space="0" w:color="auto"/>
              <w:right w:val="single" w:sz="4" w:space="0" w:color="auto"/>
            </w:tcBorders>
          </w:tcPr>
          <w:p w14:paraId="5F9322FD" w14:textId="77777777" w:rsidR="002F35F3" w:rsidRPr="006E05AF" w:rsidRDefault="002F35F3" w:rsidP="0096561A">
            <w:pPr>
              <w:pStyle w:val="BodyText"/>
              <w:spacing w:before="80" w:after="80"/>
            </w:pPr>
          </w:p>
        </w:tc>
      </w:tr>
      <w:tr w:rsidR="002F35F3" w:rsidRPr="006E05AF" w14:paraId="40599FF5" w14:textId="77777777" w:rsidTr="002F35F3">
        <w:tc>
          <w:tcPr>
            <w:tcW w:w="360" w:type="dxa"/>
            <w:vMerge/>
            <w:tcBorders>
              <w:top w:val="single" w:sz="4" w:space="0" w:color="auto"/>
              <w:left w:val="single" w:sz="4" w:space="0" w:color="auto"/>
              <w:bottom w:val="single" w:sz="4" w:space="0" w:color="auto"/>
              <w:right w:val="single" w:sz="4" w:space="0" w:color="auto"/>
            </w:tcBorders>
            <w:noWrap/>
          </w:tcPr>
          <w:p w14:paraId="2203D38F" w14:textId="77777777" w:rsidR="002F35F3" w:rsidRPr="006E05AF" w:rsidRDefault="002F35F3" w:rsidP="0096561A">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2BD2FAED" w14:textId="77777777" w:rsidR="002F35F3" w:rsidRPr="002F35F3" w:rsidRDefault="002F35F3" w:rsidP="002F35F3">
            <w:pPr>
              <w:tabs>
                <w:tab w:val="clear" w:pos="720"/>
              </w:tabs>
              <w:spacing w:before="60" w:line="240" w:lineRule="auto"/>
              <w:ind w:left="29"/>
              <w:jc w:val="left"/>
              <w:textAlignment w:val="center"/>
              <w:rPr>
                <w:rFonts w:cs="Arial"/>
                <w:szCs w:val="20"/>
              </w:rPr>
            </w:pPr>
            <w:r w:rsidRPr="002F35F3">
              <w:rPr>
                <w:rFonts w:cs="Arial"/>
                <w:szCs w:val="20"/>
              </w:rPr>
              <w:t xml:space="preserve">The current IHS </w:t>
            </w:r>
            <w:r w:rsidRPr="00C54899">
              <w:rPr>
                <w:rFonts w:cs="Arial"/>
                <w:szCs w:val="20"/>
              </w:rPr>
              <w:t>Markit</w:t>
            </w:r>
            <w:r w:rsidRPr="002F35F3">
              <w:rPr>
                <w:rFonts w:cs="Arial"/>
                <w:szCs w:val="20"/>
              </w:rPr>
              <w:t xml:space="preserve"> outlook notes that Alberta oil sands production has surpassed pre-pandemic levels and forecasts incremental growth out to 2030 to more than 3.6 MMMb/d.</w:t>
            </w:r>
            <w:r w:rsidRPr="002F35F3">
              <w:rPr>
                <w:rStyle w:val="FootnoteReference"/>
                <w:rFonts w:cs="Arial"/>
                <w:szCs w:val="20"/>
              </w:rPr>
              <w:footnoteReference w:id="3"/>
            </w:r>
            <w:r w:rsidRPr="002F35F3">
              <w:rPr>
                <w:rFonts w:cs="Arial"/>
                <w:szCs w:val="20"/>
              </w:rPr>
              <w:t xml:space="preserve"> Oilsands production is a key driver of Alberta’s load growth. In the 2021 LTO, the AESO adopted an earlier version of the IHS outlook as the base for the Reference Case; for the Clean-Tech scenario, the AESO de-rated the outlook by removing greenfield expansions to represent a scenario with no further sectoral growth (see chart below). </w:t>
            </w:r>
          </w:p>
          <w:p w14:paraId="43291458" w14:textId="60CC4BBB" w:rsidR="002F35F3" w:rsidRPr="00044789" w:rsidRDefault="002F35F3" w:rsidP="00044789">
            <w:pPr>
              <w:pStyle w:val="Heading3"/>
              <w:spacing w:after="120"/>
              <w:rPr>
                <w:i w:val="0"/>
                <w:iCs/>
              </w:rPr>
            </w:pPr>
            <w:r w:rsidRPr="00044789">
              <w:rPr>
                <w:i w:val="0"/>
                <w:iCs/>
              </w:rPr>
              <w:t>Figure X: Oilsands Outlook Assumptions in the 2021 LTO</w:t>
            </w:r>
          </w:p>
          <w:p w14:paraId="572FB51F" w14:textId="77777777" w:rsidR="002F35F3" w:rsidRDefault="002F35F3" w:rsidP="00A60E76">
            <w:pPr>
              <w:pStyle w:val="BodyText"/>
              <w:spacing w:before="80" w:line="240" w:lineRule="auto"/>
            </w:pPr>
            <w:r>
              <w:rPr>
                <w:noProof/>
              </w:rPr>
              <w:drawing>
                <wp:inline distT="0" distB="0" distL="0" distR="0" wp14:anchorId="6B54E93E" wp14:editId="3A3DC67C">
                  <wp:extent cx="3350665" cy="213935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8923" cy="2189318"/>
                          </a:xfrm>
                          <a:prstGeom prst="rect">
                            <a:avLst/>
                          </a:prstGeom>
                          <a:noFill/>
                        </pic:spPr>
                      </pic:pic>
                    </a:graphicData>
                  </a:graphic>
                </wp:inline>
              </w:drawing>
            </w:r>
          </w:p>
          <w:p w14:paraId="07D7CAD4" w14:textId="6D20AB0B" w:rsidR="002F35F3" w:rsidRPr="00A60E76" w:rsidRDefault="002F35F3" w:rsidP="003E5E1C">
            <w:pPr>
              <w:pStyle w:val="BodyText"/>
              <w:numPr>
                <w:ilvl w:val="0"/>
                <w:numId w:val="15"/>
              </w:numPr>
              <w:spacing w:after="120" w:line="240" w:lineRule="auto"/>
              <w:ind w:left="348" w:hanging="348"/>
            </w:pPr>
            <w:r w:rsidRPr="002F35F3">
              <w:t>What is your view on the AESO adopting a similar approach to that used to develop the 2021 LTO Clean-Tech scenario for analyzing the impact of net-zero policies on the oilsands sector and the subsequent impact on load growth?</w:t>
            </w:r>
          </w:p>
        </w:tc>
        <w:tc>
          <w:tcPr>
            <w:tcW w:w="6814" w:type="dxa"/>
            <w:tcBorders>
              <w:top w:val="single" w:sz="4" w:space="0" w:color="auto"/>
              <w:left w:val="single" w:sz="4" w:space="0" w:color="auto"/>
              <w:bottom w:val="single" w:sz="4" w:space="0" w:color="auto"/>
              <w:right w:val="single" w:sz="4" w:space="0" w:color="auto"/>
            </w:tcBorders>
          </w:tcPr>
          <w:p w14:paraId="7C8CCB21" w14:textId="77777777" w:rsidR="002F35F3" w:rsidRPr="006E05AF" w:rsidRDefault="002F35F3" w:rsidP="0096561A">
            <w:pPr>
              <w:pStyle w:val="BodyText"/>
              <w:spacing w:before="80" w:after="80"/>
            </w:pPr>
          </w:p>
        </w:tc>
      </w:tr>
      <w:tr w:rsidR="002F35F3" w:rsidRPr="006E05AF" w14:paraId="173FF098" w14:textId="77777777" w:rsidTr="002F35F3">
        <w:tc>
          <w:tcPr>
            <w:tcW w:w="360" w:type="dxa"/>
            <w:vMerge/>
            <w:tcBorders>
              <w:top w:val="single" w:sz="4" w:space="0" w:color="auto"/>
              <w:left w:val="single" w:sz="4" w:space="0" w:color="auto"/>
              <w:bottom w:val="single" w:sz="4" w:space="0" w:color="auto"/>
              <w:right w:val="single" w:sz="4" w:space="0" w:color="auto"/>
            </w:tcBorders>
            <w:noWrap/>
          </w:tcPr>
          <w:p w14:paraId="3291296C" w14:textId="1E8B91DE" w:rsidR="002F35F3" w:rsidRPr="006E05AF" w:rsidRDefault="002F35F3" w:rsidP="00994DC0">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05EED2CE" w14:textId="22DCF30E" w:rsidR="002F35F3" w:rsidRPr="006E05AF" w:rsidRDefault="002F35F3" w:rsidP="003E5E1C">
            <w:pPr>
              <w:pStyle w:val="BodyText"/>
              <w:numPr>
                <w:ilvl w:val="0"/>
                <w:numId w:val="15"/>
              </w:numPr>
              <w:spacing w:after="120" w:line="240" w:lineRule="auto"/>
              <w:ind w:left="348" w:hanging="348"/>
            </w:pPr>
            <w:r w:rsidRPr="006E05AF">
              <w:t xml:space="preserve">Current forward gas prices are in the $3/GJ range. </w:t>
            </w:r>
            <w:r>
              <w:t>Five</w:t>
            </w:r>
            <w:r w:rsidRPr="006E05AF">
              <w:t xml:space="preserve"> years into the future, do you see gas prices remaining at this level, decreasing, or increasing beyond inflationary rates? </w:t>
            </w:r>
            <w:r w:rsidR="00044789" w:rsidRPr="006E05AF">
              <w:t>What do you see as key drivers of gas prices going forward?</w:t>
            </w:r>
          </w:p>
        </w:tc>
        <w:tc>
          <w:tcPr>
            <w:tcW w:w="6814" w:type="dxa"/>
            <w:tcBorders>
              <w:top w:val="single" w:sz="4" w:space="0" w:color="auto"/>
              <w:left w:val="single" w:sz="4" w:space="0" w:color="auto"/>
              <w:bottom w:val="single" w:sz="4" w:space="0" w:color="auto"/>
              <w:right w:val="single" w:sz="4" w:space="0" w:color="auto"/>
            </w:tcBorders>
          </w:tcPr>
          <w:p w14:paraId="3619CFA6" w14:textId="77777777" w:rsidR="002F35F3" w:rsidRPr="006E05AF" w:rsidRDefault="002F35F3" w:rsidP="002F35F3">
            <w:pPr>
              <w:pStyle w:val="BodyText"/>
              <w:spacing w:after="120"/>
            </w:pPr>
          </w:p>
        </w:tc>
      </w:tr>
      <w:tr w:rsidR="00044789" w14:paraId="59D0E1C6" w14:textId="77777777" w:rsidTr="0096561A">
        <w:tc>
          <w:tcPr>
            <w:tcW w:w="360" w:type="dxa"/>
            <w:vMerge w:val="restart"/>
            <w:tcBorders>
              <w:top w:val="single" w:sz="4" w:space="0" w:color="auto"/>
              <w:left w:val="single" w:sz="4" w:space="0" w:color="auto"/>
              <w:bottom w:val="single" w:sz="4" w:space="0" w:color="auto"/>
              <w:right w:val="single" w:sz="4" w:space="0" w:color="auto"/>
            </w:tcBorders>
            <w:noWrap/>
          </w:tcPr>
          <w:p w14:paraId="683F8959" w14:textId="0458193A" w:rsidR="00044789" w:rsidRPr="00A87F19" w:rsidRDefault="00044789" w:rsidP="00044789">
            <w:pPr>
              <w:pStyle w:val="BodyText"/>
              <w:spacing w:before="120" w:after="80" w:line="240" w:lineRule="auto"/>
              <w:ind w:left="-115"/>
              <w:jc w:val="center"/>
              <w:rPr>
                <w:b/>
                <w:i/>
                <w:color w:val="00407A"/>
                <w:szCs w:val="20"/>
              </w:rPr>
            </w:pPr>
            <w:r w:rsidRPr="00A87F19">
              <w:rPr>
                <w:b/>
                <w:i/>
                <w:color w:val="00407A"/>
                <w:szCs w:val="20"/>
              </w:rPr>
              <w:t>3</w:t>
            </w:r>
          </w:p>
        </w:tc>
        <w:tc>
          <w:tcPr>
            <w:tcW w:w="5850" w:type="dxa"/>
            <w:tcBorders>
              <w:top w:val="single" w:sz="4" w:space="0" w:color="auto"/>
              <w:left w:val="single" w:sz="4" w:space="0" w:color="auto"/>
              <w:bottom w:val="single" w:sz="4" w:space="0" w:color="auto"/>
              <w:right w:val="single" w:sz="4" w:space="0" w:color="auto"/>
            </w:tcBorders>
          </w:tcPr>
          <w:p w14:paraId="6885183C" w14:textId="77777777" w:rsidR="00044789" w:rsidRPr="00D263C2" w:rsidRDefault="00044789" w:rsidP="0013417C">
            <w:pPr>
              <w:pStyle w:val="Heading3"/>
            </w:pPr>
            <w:r w:rsidRPr="00D263C2">
              <w:t>Policy and Electricity Value Chain Impact</w:t>
            </w:r>
          </w:p>
          <w:p w14:paraId="54FFAE21" w14:textId="77777777" w:rsidR="00044789" w:rsidRDefault="00044789" w:rsidP="0013417C">
            <w:pPr>
              <w:pStyle w:val="BodyText"/>
              <w:numPr>
                <w:ilvl w:val="0"/>
                <w:numId w:val="16"/>
              </w:numPr>
              <w:spacing w:after="60" w:line="240" w:lineRule="auto"/>
              <w:ind w:left="348" w:hanging="348"/>
            </w:pPr>
            <w:r>
              <w:t>Do you interpret net-zero emissions targets as enabling compliance via the following mechanisms?</w:t>
            </w:r>
          </w:p>
          <w:p w14:paraId="6FC81D40" w14:textId="77777777" w:rsidR="00044789" w:rsidRDefault="00044789" w:rsidP="003E5E1C">
            <w:pPr>
              <w:pStyle w:val="BodyText"/>
              <w:numPr>
                <w:ilvl w:val="1"/>
                <w:numId w:val="17"/>
              </w:numPr>
              <w:spacing w:after="60" w:line="240" w:lineRule="auto"/>
              <w:ind w:left="708"/>
            </w:pPr>
            <w:r>
              <w:t>Offsets or credits (generated outside the electricity sector)</w:t>
            </w:r>
          </w:p>
          <w:p w14:paraId="6B17045A" w14:textId="5DB80A4C" w:rsidR="00044789" w:rsidRDefault="00044789" w:rsidP="003E5E1C">
            <w:pPr>
              <w:pStyle w:val="BodyText"/>
              <w:numPr>
                <w:ilvl w:val="1"/>
                <w:numId w:val="17"/>
              </w:numPr>
              <w:spacing w:after="60" w:line="240" w:lineRule="auto"/>
              <w:ind w:left="708"/>
            </w:pPr>
            <w:r>
              <w:t>Offsets or credits (generated within the electricity sector)</w:t>
            </w:r>
          </w:p>
          <w:p w14:paraId="6D0EE44F" w14:textId="77777777" w:rsidR="00044789" w:rsidRDefault="00044789" w:rsidP="003E5E1C">
            <w:pPr>
              <w:pStyle w:val="BodyText"/>
              <w:numPr>
                <w:ilvl w:val="1"/>
                <w:numId w:val="17"/>
              </w:numPr>
              <w:spacing w:after="120" w:line="240" w:lineRule="auto"/>
              <w:ind w:left="708"/>
            </w:pPr>
            <w:r>
              <w:t>Physical emissions reductions only</w:t>
            </w:r>
          </w:p>
        </w:tc>
        <w:tc>
          <w:tcPr>
            <w:tcW w:w="6814" w:type="dxa"/>
            <w:tcBorders>
              <w:top w:val="single" w:sz="4" w:space="0" w:color="auto"/>
              <w:left w:val="single" w:sz="4" w:space="0" w:color="auto"/>
              <w:bottom w:val="single" w:sz="4" w:space="0" w:color="auto"/>
              <w:right w:val="single" w:sz="4" w:space="0" w:color="auto"/>
            </w:tcBorders>
          </w:tcPr>
          <w:p w14:paraId="6F598F07" w14:textId="77777777" w:rsidR="00044789" w:rsidRDefault="00044789" w:rsidP="0096561A">
            <w:pPr>
              <w:pStyle w:val="BodyText"/>
              <w:spacing w:before="80" w:after="80"/>
            </w:pPr>
          </w:p>
        </w:tc>
      </w:tr>
      <w:tr w:rsidR="00044789" w14:paraId="7236BF3C" w14:textId="77777777" w:rsidTr="0096561A">
        <w:tc>
          <w:tcPr>
            <w:tcW w:w="360" w:type="dxa"/>
            <w:vMerge/>
            <w:tcBorders>
              <w:top w:val="single" w:sz="4" w:space="0" w:color="auto"/>
              <w:left w:val="single" w:sz="4" w:space="0" w:color="auto"/>
              <w:bottom w:val="single" w:sz="4" w:space="0" w:color="auto"/>
              <w:right w:val="single" w:sz="4" w:space="0" w:color="auto"/>
            </w:tcBorders>
            <w:noWrap/>
          </w:tcPr>
          <w:p w14:paraId="3D7247DD" w14:textId="77777777" w:rsidR="00044789" w:rsidRDefault="00044789" w:rsidP="0096561A">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643BC871" w14:textId="77777777" w:rsidR="00044789" w:rsidRDefault="00044789" w:rsidP="002B0F48">
            <w:pPr>
              <w:pStyle w:val="BodyText"/>
              <w:numPr>
                <w:ilvl w:val="0"/>
                <w:numId w:val="16"/>
              </w:numPr>
              <w:spacing w:after="120" w:line="240" w:lineRule="auto"/>
              <w:ind w:left="346" w:hanging="346"/>
            </w:pPr>
            <w:r>
              <w:t>What are your expectations of carbon prices in the future? With federally announced carbon prices rising from $50/t to $170/t by 2030, how do you see carbon price policy unfolding prior to 2030 and beyond 2030?</w:t>
            </w:r>
          </w:p>
        </w:tc>
        <w:tc>
          <w:tcPr>
            <w:tcW w:w="6814" w:type="dxa"/>
            <w:tcBorders>
              <w:top w:val="single" w:sz="4" w:space="0" w:color="auto"/>
              <w:left w:val="single" w:sz="4" w:space="0" w:color="auto"/>
              <w:bottom w:val="single" w:sz="4" w:space="0" w:color="auto"/>
              <w:right w:val="single" w:sz="4" w:space="0" w:color="auto"/>
            </w:tcBorders>
          </w:tcPr>
          <w:p w14:paraId="64858B1D" w14:textId="77777777" w:rsidR="00044789" w:rsidRDefault="00044789" w:rsidP="0096561A">
            <w:pPr>
              <w:pStyle w:val="BodyText"/>
              <w:spacing w:before="80" w:after="80"/>
            </w:pPr>
          </w:p>
        </w:tc>
      </w:tr>
      <w:tr w:rsidR="00044789" w14:paraId="74DACB3A" w14:textId="77777777" w:rsidTr="0096561A">
        <w:tc>
          <w:tcPr>
            <w:tcW w:w="360" w:type="dxa"/>
            <w:vMerge/>
            <w:tcBorders>
              <w:top w:val="single" w:sz="4" w:space="0" w:color="auto"/>
              <w:left w:val="single" w:sz="4" w:space="0" w:color="auto"/>
              <w:bottom w:val="single" w:sz="4" w:space="0" w:color="auto"/>
              <w:right w:val="single" w:sz="4" w:space="0" w:color="auto"/>
            </w:tcBorders>
            <w:noWrap/>
          </w:tcPr>
          <w:p w14:paraId="3953499F" w14:textId="77777777" w:rsidR="00044789" w:rsidRDefault="00044789" w:rsidP="0096561A">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4B3C3719" w14:textId="77777777" w:rsidR="00044789" w:rsidRDefault="00044789" w:rsidP="002B0F48">
            <w:pPr>
              <w:pStyle w:val="BodyText"/>
              <w:numPr>
                <w:ilvl w:val="0"/>
                <w:numId w:val="16"/>
              </w:numPr>
              <w:spacing w:after="120" w:line="240" w:lineRule="auto"/>
              <w:ind w:left="346" w:hanging="346"/>
            </w:pPr>
            <w:r>
              <w:t>What additional provincial or federal policies, policy scenarios or potential changes do you see impacting the Alberta electric system?</w:t>
            </w:r>
          </w:p>
        </w:tc>
        <w:tc>
          <w:tcPr>
            <w:tcW w:w="6814" w:type="dxa"/>
            <w:tcBorders>
              <w:top w:val="single" w:sz="4" w:space="0" w:color="auto"/>
              <w:left w:val="single" w:sz="4" w:space="0" w:color="auto"/>
              <w:bottom w:val="single" w:sz="4" w:space="0" w:color="auto"/>
              <w:right w:val="single" w:sz="4" w:space="0" w:color="auto"/>
            </w:tcBorders>
          </w:tcPr>
          <w:p w14:paraId="601A87DB" w14:textId="77777777" w:rsidR="00044789" w:rsidRDefault="00044789" w:rsidP="0096561A">
            <w:pPr>
              <w:pStyle w:val="BodyText"/>
              <w:spacing w:before="80" w:after="80"/>
            </w:pPr>
          </w:p>
        </w:tc>
      </w:tr>
      <w:tr w:rsidR="00044789" w14:paraId="48B0228D" w14:textId="77777777" w:rsidTr="0096561A">
        <w:tc>
          <w:tcPr>
            <w:tcW w:w="360" w:type="dxa"/>
            <w:vMerge/>
            <w:tcBorders>
              <w:top w:val="single" w:sz="4" w:space="0" w:color="auto"/>
              <w:left w:val="single" w:sz="4" w:space="0" w:color="auto"/>
              <w:bottom w:val="single" w:sz="4" w:space="0" w:color="auto"/>
              <w:right w:val="single" w:sz="4" w:space="0" w:color="auto"/>
            </w:tcBorders>
            <w:noWrap/>
          </w:tcPr>
          <w:p w14:paraId="08B354C7" w14:textId="77777777" w:rsidR="00044789" w:rsidRDefault="00044789" w:rsidP="0096561A">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62C80E90" w14:textId="77777777" w:rsidR="00044789" w:rsidRDefault="00044789" w:rsidP="002B0F48">
            <w:pPr>
              <w:pStyle w:val="BodyText"/>
              <w:numPr>
                <w:ilvl w:val="0"/>
                <w:numId w:val="16"/>
              </w:numPr>
              <w:spacing w:after="120" w:line="240" w:lineRule="auto"/>
              <w:ind w:left="346" w:hanging="346"/>
            </w:pPr>
            <w:r>
              <w:t>Are there any other related considerations that you would like to provide feedback on?</w:t>
            </w:r>
          </w:p>
        </w:tc>
        <w:tc>
          <w:tcPr>
            <w:tcW w:w="6814" w:type="dxa"/>
            <w:tcBorders>
              <w:top w:val="single" w:sz="4" w:space="0" w:color="auto"/>
              <w:left w:val="single" w:sz="4" w:space="0" w:color="auto"/>
              <w:bottom w:val="single" w:sz="4" w:space="0" w:color="auto"/>
              <w:right w:val="single" w:sz="4" w:space="0" w:color="auto"/>
            </w:tcBorders>
          </w:tcPr>
          <w:p w14:paraId="2FE393F6" w14:textId="77777777" w:rsidR="00044789" w:rsidRDefault="00044789" w:rsidP="0096561A">
            <w:pPr>
              <w:pStyle w:val="BodyText"/>
              <w:spacing w:before="80" w:after="80"/>
            </w:pPr>
          </w:p>
        </w:tc>
      </w:tr>
      <w:tr w:rsidR="007B49D4" w14:paraId="391433C5" w14:textId="77777777" w:rsidTr="009B7BD5">
        <w:tc>
          <w:tcPr>
            <w:tcW w:w="360" w:type="dxa"/>
            <w:vMerge w:val="restart"/>
            <w:tcBorders>
              <w:top w:val="single" w:sz="4" w:space="0" w:color="auto"/>
              <w:left w:val="single" w:sz="4" w:space="0" w:color="auto"/>
              <w:right w:val="single" w:sz="4" w:space="0" w:color="auto"/>
            </w:tcBorders>
            <w:noWrap/>
          </w:tcPr>
          <w:p w14:paraId="63A82D41" w14:textId="74E009E4" w:rsidR="007B49D4" w:rsidRPr="00A87F19" w:rsidRDefault="007B49D4" w:rsidP="00A87F19">
            <w:pPr>
              <w:pStyle w:val="BodyText"/>
              <w:spacing w:before="120" w:after="80" w:line="240" w:lineRule="auto"/>
              <w:ind w:left="-115"/>
              <w:jc w:val="center"/>
              <w:rPr>
                <w:b/>
                <w:i/>
                <w:color w:val="00407A"/>
                <w:szCs w:val="20"/>
              </w:rPr>
            </w:pPr>
            <w:r w:rsidRPr="00A87F19">
              <w:rPr>
                <w:b/>
                <w:i/>
                <w:color w:val="00407A"/>
                <w:szCs w:val="20"/>
              </w:rPr>
              <w:t>4</w:t>
            </w:r>
          </w:p>
        </w:tc>
        <w:tc>
          <w:tcPr>
            <w:tcW w:w="5850" w:type="dxa"/>
            <w:tcBorders>
              <w:top w:val="single" w:sz="4" w:space="0" w:color="auto"/>
              <w:left w:val="single" w:sz="4" w:space="0" w:color="auto"/>
              <w:bottom w:val="single" w:sz="4" w:space="0" w:color="auto"/>
              <w:right w:val="single" w:sz="4" w:space="0" w:color="auto"/>
            </w:tcBorders>
          </w:tcPr>
          <w:p w14:paraId="0607DA70" w14:textId="74B5C993" w:rsidR="007B49D4" w:rsidRPr="00D263C2" w:rsidRDefault="007B49D4" w:rsidP="0013417C">
            <w:pPr>
              <w:pStyle w:val="Heading3"/>
            </w:pPr>
            <w:r w:rsidRPr="00D263C2">
              <w:t xml:space="preserve">Electrification </w:t>
            </w:r>
            <w:r w:rsidR="00D263C2">
              <w:t>and</w:t>
            </w:r>
            <w:r w:rsidRPr="00D263C2">
              <w:t xml:space="preserve"> Electricity Demand Drivers in Alberta</w:t>
            </w:r>
          </w:p>
          <w:p w14:paraId="682735EC" w14:textId="08D0DFAD" w:rsidR="007B49D4" w:rsidRPr="007B49D4" w:rsidRDefault="007B49D4" w:rsidP="0013417C">
            <w:pPr>
              <w:pStyle w:val="Heading3"/>
              <w:numPr>
                <w:ilvl w:val="0"/>
                <w:numId w:val="18"/>
              </w:numPr>
              <w:ind w:left="348" w:hanging="348"/>
              <w:rPr>
                <w:i w:val="0"/>
                <w:iCs/>
              </w:rPr>
            </w:pPr>
            <w:r w:rsidRPr="007B49D4">
              <w:rPr>
                <w:i w:val="0"/>
                <w:iCs/>
              </w:rPr>
              <w:t>Energy efficiency</w:t>
            </w:r>
          </w:p>
          <w:p w14:paraId="45DCFB8B" w14:textId="786FE8E3" w:rsidR="007B49D4" w:rsidRDefault="007B49D4" w:rsidP="0013417C">
            <w:pPr>
              <w:pStyle w:val="BodyText"/>
              <w:numPr>
                <w:ilvl w:val="0"/>
                <w:numId w:val="19"/>
              </w:numPr>
              <w:spacing w:after="120" w:line="240" w:lineRule="auto"/>
            </w:pPr>
            <w:r w:rsidRPr="007B49D4">
              <w:t>What is your view on the potential penetration and pace of greater energy efficiency across sectors (residential, commercial, and/or industrial)? What would trigger more energy efficiency or conservation efforts?</w:t>
            </w:r>
          </w:p>
        </w:tc>
        <w:tc>
          <w:tcPr>
            <w:tcW w:w="6814" w:type="dxa"/>
            <w:tcBorders>
              <w:top w:val="single" w:sz="4" w:space="0" w:color="auto"/>
              <w:left w:val="single" w:sz="4" w:space="0" w:color="auto"/>
              <w:bottom w:val="single" w:sz="4" w:space="0" w:color="auto"/>
              <w:right w:val="single" w:sz="4" w:space="0" w:color="auto"/>
            </w:tcBorders>
          </w:tcPr>
          <w:p w14:paraId="49AAD0AC" w14:textId="77777777" w:rsidR="007B49D4" w:rsidRDefault="007B49D4" w:rsidP="00994DC0">
            <w:pPr>
              <w:pStyle w:val="BodyText"/>
              <w:spacing w:before="80" w:after="80"/>
            </w:pPr>
          </w:p>
        </w:tc>
      </w:tr>
      <w:tr w:rsidR="007B49D4" w14:paraId="66142A42" w14:textId="77777777" w:rsidTr="009B7BD5">
        <w:tc>
          <w:tcPr>
            <w:tcW w:w="360" w:type="dxa"/>
            <w:vMerge/>
            <w:tcBorders>
              <w:left w:val="single" w:sz="4" w:space="0" w:color="auto"/>
              <w:right w:val="single" w:sz="4" w:space="0" w:color="auto"/>
            </w:tcBorders>
            <w:noWrap/>
          </w:tcPr>
          <w:p w14:paraId="6FC9E534" w14:textId="33FA2814" w:rsidR="007B49D4" w:rsidRDefault="007B49D4" w:rsidP="0096561A">
            <w:pPr>
              <w:pStyle w:val="BodyText"/>
              <w:spacing w:before="120" w:after="80" w:line="220" w:lineRule="exact"/>
              <w:ind w:left="-109"/>
              <w:jc w:val="center"/>
            </w:pPr>
            <w:bookmarkStart w:id="3" w:name="_Hlk90489697"/>
          </w:p>
        </w:tc>
        <w:tc>
          <w:tcPr>
            <w:tcW w:w="5850" w:type="dxa"/>
            <w:tcBorders>
              <w:top w:val="single" w:sz="4" w:space="0" w:color="auto"/>
              <w:left w:val="single" w:sz="4" w:space="0" w:color="auto"/>
              <w:bottom w:val="single" w:sz="4" w:space="0" w:color="auto"/>
              <w:right w:val="single" w:sz="4" w:space="0" w:color="auto"/>
            </w:tcBorders>
          </w:tcPr>
          <w:p w14:paraId="29325332" w14:textId="44C60306" w:rsidR="007B49D4" w:rsidRPr="007B49D4" w:rsidRDefault="007B49D4" w:rsidP="0013417C">
            <w:pPr>
              <w:pStyle w:val="Heading3"/>
              <w:numPr>
                <w:ilvl w:val="0"/>
                <w:numId w:val="18"/>
              </w:numPr>
              <w:ind w:left="348" w:hanging="348"/>
              <w:rPr>
                <w:i w:val="0"/>
                <w:iCs/>
              </w:rPr>
            </w:pPr>
            <w:r>
              <w:rPr>
                <w:i w:val="0"/>
                <w:iCs/>
              </w:rPr>
              <w:t>Distributed Energy Resources (DER)</w:t>
            </w:r>
          </w:p>
          <w:p w14:paraId="3D28CAE8" w14:textId="45035F22" w:rsidR="007B49D4" w:rsidRDefault="007B49D4" w:rsidP="003E5E1C">
            <w:pPr>
              <w:pStyle w:val="BodyText"/>
              <w:numPr>
                <w:ilvl w:val="0"/>
                <w:numId w:val="19"/>
              </w:numPr>
              <w:spacing w:after="120" w:line="240" w:lineRule="auto"/>
            </w:pPr>
            <w:r w:rsidRPr="007B49D4">
              <w:t>How do you expect net-zero trends will impact DERs (e.g., gas-fired generation, solar, wind, small-scale energy storage systems, demand-side management technologies, load aggregator technologies, micro-grids, etc.)?</w:t>
            </w:r>
          </w:p>
        </w:tc>
        <w:tc>
          <w:tcPr>
            <w:tcW w:w="6814" w:type="dxa"/>
            <w:tcBorders>
              <w:top w:val="single" w:sz="4" w:space="0" w:color="auto"/>
              <w:left w:val="single" w:sz="4" w:space="0" w:color="auto"/>
              <w:bottom w:val="single" w:sz="4" w:space="0" w:color="auto"/>
              <w:right w:val="single" w:sz="4" w:space="0" w:color="auto"/>
            </w:tcBorders>
          </w:tcPr>
          <w:p w14:paraId="60FD0776" w14:textId="77777777" w:rsidR="007B49D4" w:rsidRDefault="007B49D4" w:rsidP="0096561A">
            <w:pPr>
              <w:pStyle w:val="BodyText"/>
              <w:spacing w:before="80" w:after="80"/>
            </w:pPr>
          </w:p>
        </w:tc>
      </w:tr>
      <w:bookmarkEnd w:id="3"/>
      <w:tr w:rsidR="007B49D4" w14:paraId="58D45D88" w14:textId="77777777" w:rsidTr="009B7BD5">
        <w:tc>
          <w:tcPr>
            <w:tcW w:w="360" w:type="dxa"/>
            <w:vMerge/>
            <w:tcBorders>
              <w:left w:val="single" w:sz="4" w:space="0" w:color="auto"/>
              <w:right w:val="single" w:sz="4" w:space="0" w:color="auto"/>
            </w:tcBorders>
            <w:noWrap/>
          </w:tcPr>
          <w:p w14:paraId="5C940F1C" w14:textId="77777777" w:rsidR="007B49D4" w:rsidRDefault="007B49D4" w:rsidP="0096561A">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2D10917F" w14:textId="52F04511" w:rsidR="007B49D4" w:rsidRPr="007B49D4" w:rsidRDefault="007B49D4" w:rsidP="0013417C">
            <w:pPr>
              <w:pStyle w:val="Heading3"/>
              <w:numPr>
                <w:ilvl w:val="0"/>
                <w:numId w:val="18"/>
              </w:numPr>
              <w:ind w:left="348" w:hanging="348"/>
              <w:rPr>
                <w:i w:val="0"/>
                <w:iCs/>
              </w:rPr>
            </w:pPr>
            <w:r>
              <w:rPr>
                <w:i w:val="0"/>
                <w:iCs/>
              </w:rPr>
              <w:t>Transportation Sector</w:t>
            </w:r>
          </w:p>
          <w:p w14:paraId="77540439" w14:textId="5CC45BBC" w:rsidR="007B49D4" w:rsidRDefault="007B49D4" w:rsidP="003E5E1C">
            <w:pPr>
              <w:pStyle w:val="BodyText"/>
              <w:numPr>
                <w:ilvl w:val="0"/>
                <w:numId w:val="19"/>
              </w:numPr>
              <w:spacing w:after="120" w:line="240" w:lineRule="auto"/>
            </w:pPr>
            <w:r w:rsidRPr="007B49D4">
              <w:t>What is your view on the potential penetration and pace of electrification of the transportation sector (e.g., passenger vehicles and light-duty trucks, commercial fleets, heavy-duty trucks, rail, other)?</w:t>
            </w:r>
          </w:p>
        </w:tc>
        <w:tc>
          <w:tcPr>
            <w:tcW w:w="6814" w:type="dxa"/>
            <w:tcBorders>
              <w:top w:val="single" w:sz="4" w:space="0" w:color="auto"/>
              <w:left w:val="single" w:sz="4" w:space="0" w:color="auto"/>
              <w:bottom w:val="single" w:sz="4" w:space="0" w:color="auto"/>
              <w:right w:val="single" w:sz="4" w:space="0" w:color="auto"/>
            </w:tcBorders>
          </w:tcPr>
          <w:p w14:paraId="6D3301AE" w14:textId="77777777" w:rsidR="007B49D4" w:rsidRDefault="007B49D4" w:rsidP="0096561A">
            <w:pPr>
              <w:pStyle w:val="BodyText"/>
              <w:spacing w:before="80" w:after="80"/>
            </w:pPr>
          </w:p>
        </w:tc>
      </w:tr>
      <w:tr w:rsidR="007B49D4" w14:paraId="32590D9E" w14:textId="77777777" w:rsidTr="007B49D4">
        <w:tc>
          <w:tcPr>
            <w:tcW w:w="360" w:type="dxa"/>
            <w:vMerge/>
            <w:tcBorders>
              <w:left w:val="single" w:sz="4" w:space="0" w:color="auto"/>
              <w:right w:val="single" w:sz="4" w:space="0" w:color="auto"/>
            </w:tcBorders>
            <w:noWrap/>
          </w:tcPr>
          <w:p w14:paraId="66E873F0" w14:textId="77777777" w:rsidR="007B49D4" w:rsidRDefault="007B49D4" w:rsidP="0096561A">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14870B6D" w14:textId="490FE150" w:rsidR="007B49D4" w:rsidRPr="007B49D4" w:rsidRDefault="007B49D4" w:rsidP="0013417C">
            <w:pPr>
              <w:pStyle w:val="Heading3"/>
              <w:numPr>
                <w:ilvl w:val="0"/>
                <w:numId w:val="18"/>
              </w:numPr>
              <w:ind w:left="348" w:hanging="348"/>
              <w:rPr>
                <w:i w:val="0"/>
                <w:iCs/>
              </w:rPr>
            </w:pPr>
            <w:r>
              <w:rPr>
                <w:i w:val="0"/>
                <w:iCs/>
              </w:rPr>
              <w:t>Buildings</w:t>
            </w:r>
          </w:p>
          <w:p w14:paraId="731C007C" w14:textId="236F196E" w:rsidR="007B49D4" w:rsidRDefault="007B49D4" w:rsidP="003E5E1C">
            <w:pPr>
              <w:pStyle w:val="BodyText"/>
              <w:numPr>
                <w:ilvl w:val="0"/>
                <w:numId w:val="19"/>
              </w:numPr>
              <w:spacing w:after="120" w:line="240" w:lineRule="auto"/>
            </w:pPr>
            <w:r w:rsidRPr="007B49D4">
              <w:t>What is your view on the potential penetration and pace of electrification of space heating/cooling and/or water heating?</w:t>
            </w:r>
          </w:p>
        </w:tc>
        <w:tc>
          <w:tcPr>
            <w:tcW w:w="6814" w:type="dxa"/>
            <w:tcBorders>
              <w:top w:val="single" w:sz="4" w:space="0" w:color="auto"/>
              <w:left w:val="single" w:sz="4" w:space="0" w:color="auto"/>
              <w:bottom w:val="single" w:sz="4" w:space="0" w:color="auto"/>
              <w:right w:val="single" w:sz="4" w:space="0" w:color="auto"/>
            </w:tcBorders>
          </w:tcPr>
          <w:p w14:paraId="144B9327" w14:textId="77777777" w:rsidR="007B49D4" w:rsidRDefault="007B49D4" w:rsidP="0096561A">
            <w:pPr>
              <w:pStyle w:val="BodyText"/>
              <w:spacing w:before="80" w:after="80"/>
            </w:pPr>
          </w:p>
        </w:tc>
      </w:tr>
      <w:tr w:rsidR="007B49D4" w14:paraId="1EF19284" w14:textId="77777777" w:rsidTr="00080500">
        <w:tc>
          <w:tcPr>
            <w:tcW w:w="360" w:type="dxa"/>
            <w:vMerge/>
            <w:tcBorders>
              <w:left w:val="single" w:sz="4" w:space="0" w:color="auto"/>
              <w:bottom w:val="single" w:sz="4" w:space="0" w:color="auto"/>
              <w:right w:val="single" w:sz="4" w:space="0" w:color="auto"/>
            </w:tcBorders>
            <w:noWrap/>
          </w:tcPr>
          <w:p w14:paraId="530DDEFB" w14:textId="77777777" w:rsidR="007B49D4" w:rsidRDefault="007B49D4"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127148A3" w14:textId="0565079B" w:rsidR="007B49D4" w:rsidRPr="007B49D4" w:rsidRDefault="007B49D4" w:rsidP="0013417C">
            <w:pPr>
              <w:pStyle w:val="Heading3"/>
              <w:numPr>
                <w:ilvl w:val="0"/>
                <w:numId w:val="18"/>
              </w:numPr>
              <w:ind w:left="348" w:hanging="348"/>
              <w:rPr>
                <w:i w:val="0"/>
                <w:iCs/>
              </w:rPr>
            </w:pPr>
            <w:r>
              <w:rPr>
                <w:i w:val="0"/>
                <w:iCs/>
              </w:rPr>
              <w:t>Industrial Sectors</w:t>
            </w:r>
          </w:p>
          <w:p w14:paraId="242A367C" w14:textId="171FC937" w:rsidR="007B49D4" w:rsidRDefault="007B49D4" w:rsidP="003E5E1C">
            <w:pPr>
              <w:pStyle w:val="BodyText"/>
              <w:numPr>
                <w:ilvl w:val="0"/>
                <w:numId w:val="19"/>
              </w:numPr>
              <w:spacing w:after="120" w:line="240" w:lineRule="auto"/>
            </w:pPr>
            <w:r>
              <w:t xml:space="preserve">Deployment of carbon capture, utilization and storage (CCUS) and hydrogen production (especially if based on electrolysis) could increase industrial load. What is your view on the expected increase in load (either served on-site or from the grid) from these industrial processes? </w:t>
            </w:r>
          </w:p>
          <w:p w14:paraId="56302809" w14:textId="32D57184" w:rsidR="00375F19" w:rsidRDefault="007B49D4">
            <w:pPr>
              <w:pStyle w:val="BodyText"/>
              <w:numPr>
                <w:ilvl w:val="0"/>
                <w:numId w:val="19"/>
              </w:numPr>
              <w:spacing w:after="120" w:line="240" w:lineRule="auto"/>
            </w:pPr>
            <w:r>
              <w:t>What is your view on load growth and the impact of net-zero targets on other industries, sectors or technologies (e.g., cryptocurrency mining, data centers, petrochemical facilities, cement, steel, others)?</w:t>
            </w:r>
          </w:p>
        </w:tc>
        <w:tc>
          <w:tcPr>
            <w:tcW w:w="6814" w:type="dxa"/>
            <w:tcBorders>
              <w:top w:val="single" w:sz="4" w:space="0" w:color="auto"/>
              <w:left w:val="single" w:sz="4" w:space="0" w:color="auto"/>
              <w:bottom w:val="single" w:sz="4" w:space="0" w:color="auto"/>
              <w:right w:val="single" w:sz="4" w:space="0" w:color="auto"/>
            </w:tcBorders>
          </w:tcPr>
          <w:p w14:paraId="107CCDD8" w14:textId="77777777" w:rsidR="007B49D4" w:rsidRDefault="007B49D4" w:rsidP="007B49D4">
            <w:pPr>
              <w:pStyle w:val="BodyText"/>
              <w:spacing w:before="80" w:after="80"/>
            </w:pPr>
          </w:p>
        </w:tc>
      </w:tr>
      <w:tr w:rsidR="00080500" w14:paraId="46D6AE23" w14:textId="77777777" w:rsidTr="00080500">
        <w:tc>
          <w:tcPr>
            <w:tcW w:w="360" w:type="dxa"/>
            <w:vMerge w:val="restart"/>
            <w:tcBorders>
              <w:top w:val="single" w:sz="4" w:space="0" w:color="auto"/>
              <w:left w:val="single" w:sz="4" w:space="0" w:color="auto"/>
              <w:bottom w:val="single" w:sz="4" w:space="0" w:color="auto"/>
              <w:right w:val="single" w:sz="4" w:space="0" w:color="auto"/>
            </w:tcBorders>
            <w:noWrap/>
          </w:tcPr>
          <w:p w14:paraId="1A8ACC55" w14:textId="586D0087" w:rsidR="00080500" w:rsidRPr="00A87F19" w:rsidRDefault="00080500" w:rsidP="00A87F19">
            <w:pPr>
              <w:pStyle w:val="BodyText"/>
              <w:spacing w:before="120" w:after="80" w:line="240" w:lineRule="auto"/>
              <w:ind w:left="-115"/>
              <w:jc w:val="center"/>
              <w:rPr>
                <w:b/>
                <w:i/>
                <w:color w:val="00407A"/>
                <w:szCs w:val="20"/>
              </w:rPr>
            </w:pPr>
            <w:r w:rsidRPr="00A87F19">
              <w:rPr>
                <w:b/>
                <w:i/>
                <w:color w:val="00407A"/>
                <w:szCs w:val="20"/>
              </w:rPr>
              <w:t xml:space="preserve">5 </w:t>
            </w:r>
          </w:p>
        </w:tc>
        <w:tc>
          <w:tcPr>
            <w:tcW w:w="5850" w:type="dxa"/>
            <w:tcBorders>
              <w:top w:val="single" w:sz="4" w:space="0" w:color="auto"/>
              <w:left w:val="single" w:sz="4" w:space="0" w:color="auto"/>
              <w:bottom w:val="single" w:sz="4" w:space="0" w:color="auto"/>
              <w:right w:val="single" w:sz="4" w:space="0" w:color="auto"/>
            </w:tcBorders>
          </w:tcPr>
          <w:p w14:paraId="51D5D5B2" w14:textId="19D615C9" w:rsidR="00080500" w:rsidRPr="00D263C2" w:rsidRDefault="00080500" w:rsidP="0013417C">
            <w:pPr>
              <w:pStyle w:val="Heading3"/>
            </w:pPr>
            <w:r w:rsidRPr="00D263C2">
              <w:t>Generation Technologies</w:t>
            </w:r>
          </w:p>
          <w:p w14:paraId="59CD92A6" w14:textId="2993D1C6" w:rsidR="00080500" w:rsidRPr="00A760BD" w:rsidRDefault="00080500" w:rsidP="0013417C">
            <w:pPr>
              <w:pStyle w:val="BodyText"/>
              <w:numPr>
                <w:ilvl w:val="0"/>
                <w:numId w:val="20"/>
              </w:numPr>
              <w:spacing w:after="240" w:line="240" w:lineRule="auto"/>
              <w:ind w:left="346" w:hanging="346"/>
            </w:pPr>
            <w:r w:rsidRPr="003E5E1C">
              <w:t>What net-zero enabling generation technologies do you perceive as being the most economic pathways to decarbonization of the electricity supply in Alberta?</w:t>
            </w:r>
          </w:p>
        </w:tc>
        <w:tc>
          <w:tcPr>
            <w:tcW w:w="6814" w:type="dxa"/>
            <w:tcBorders>
              <w:top w:val="single" w:sz="4" w:space="0" w:color="auto"/>
              <w:left w:val="single" w:sz="4" w:space="0" w:color="auto"/>
              <w:bottom w:val="single" w:sz="4" w:space="0" w:color="auto"/>
              <w:right w:val="single" w:sz="4" w:space="0" w:color="auto"/>
            </w:tcBorders>
          </w:tcPr>
          <w:p w14:paraId="3E7FC5DE" w14:textId="77777777" w:rsidR="00080500" w:rsidRDefault="00080500" w:rsidP="007B49D4">
            <w:pPr>
              <w:pStyle w:val="BodyText"/>
              <w:spacing w:before="80" w:after="80"/>
            </w:pPr>
          </w:p>
        </w:tc>
      </w:tr>
      <w:tr w:rsidR="00080500" w14:paraId="4FC06615" w14:textId="77777777" w:rsidTr="00080500">
        <w:tc>
          <w:tcPr>
            <w:tcW w:w="360" w:type="dxa"/>
            <w:vMerge/>
            <w:tcBorders>
              <w:top w:val="single" w:sz="4" w:space="0" w:color="auto"/>
              <w:left w:val="single" w:sz="4" w:space="0" w:color="auto"/>
              <w:bottom w:val="single" w:sz="4" w:space="0" w:color="auto"/>
              <w:right w:val="single" w:sz="4" w:space="0" w:color="auto"/>
            </w:tcBorders>
            <w:noWrap/>
          </w:tcPr>
          <w:p w14:paraId="7B569886" w14:textId="77777777" w:rsidR="00080500" w:rsidRDefault="00080500"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697FA7F9" w14:textId="1FAA9E82" w:rsidR="00080500" w:rsidRDefault="00080500" w:rsidP="003E5E1C">
            <w:pPr>
              <w:pStyle w:val="BodyText"/>
              <w:numPr>
                <w:ilvl w:val="0"/>
                <w:numId w:val="20"/>
              </w:numPr>
              <w:spacing w:after="120" w:line="240" w:lineRule="auto"/>
              <w:ind w:left="348" w:hanging="348"/>
            </w:pPr>
            <w:r>
              <w:t>What are the strengths and weaknesses associated with the following net-zero enabling technologies, within the context of transitioning to net-zero emissions in Alberta’s electricity sector? What do you view as reasonable development timelines for these technologies?</w:t>
            </w:r>
          </w:p>
          <w:p w14:paraId="615BE926" w14:textId="417918CC" w:rsidR="00080500" w:rsidRDefault="00080500" w:rsidP="0013417C">
            <w:pPr>
              <w:pStyle w:val="BodyText"/>
              <w:numPr>
                <w:ilvl w:val="0"/>
                <w:numId w:val="21"/>
              </w:numPr>
              <w:spacing w:after="80" w:line="240" w:lineRule="auto"/>
              <w:ind w:left="787" w:hanging="439"/>
            </w:pPr>
            <w:r>
              <w:t>Post-combustion Carbon Capture, Utilization, and Storage</w:t>
            </w:r>
          </w:p>
          <w:p w14:paraId="1E0C5403" w14:textId="5DB930AF" w:rsidR="00080500" w:rsidRDefault="00080500" w:rsidP="0013417C">
            <w:pPr>
              <w:pStyle w:val="BodyText"/>
              <w:numPr>
                <w:ilvl w:val="0"/>
                <w:numId w:val="21"/>
              </w:numPr>
              <w:spacing w:after="80" w:line="240" w:lineRule="auto"/>
              <w:ind w:left="787" w:hanging="439"/>
            </w:pPr>
            <w:r>
              <w:t>Pre-combustion Carbon Capture, Utilization and Storage (hydrogen)</w:t>
            </w:r>
          </w:p>
          <w:p w14:paraId="59FFBE92" w14:textId="248D9CF7" w:rsidR="00080500" w:rsidRDefault="00080500" w:rsidP="0013417C">
            <w:pPr>
              <w:pStyle w:val="BodyText"/>
              <w:numPr>
                <w:ilvl w:val="0"/>
                <w:numId w:val="21"/>
              </w:numPr>
              <w:spacing w:after="80" w:line="240" w:lineRule="auto"/>
              <w:ind w:left="787" w:hanging="439"/>
            </w:pPr>
            <w:r>
              <w:t>Oxyfueled generation</w:t>
            </w:r>
          </w:p>
          <w:p w14:paraId="433ECBD1" w14:textId="67CB7F14" w:rsidR="00080500" w:rsidRDefault="00080500" w:rsidP="0013417C">
            <w:pPr>
              <w:pStyle w:val="BodyText"/>
              <w:numPr>
                <w:ilvl w:val="0"/>
                <w:numId w:val="21"/>
              </w:numPr>
              <w:spacing w:after="80" w:line="240" w:lineRule="auto"/>
              <w:ind w:left="787" w:hanging="439"/>
            </w:pPr>
            <w:r>
              <w:t>Renewable generation including wind, solar, geothermal, and biomass</w:t>
            </w:r>
          </w:p>
          <w:p w14:paraId="5B1DF687" w14:textId="04D709D2" w:rsidR="00080500" w:rsidRDefault="00080500" w:rsidP="0013417C">
            <w:pPr>
              <w:pStyle w:val="BodyText"/>
              <w:numPr>
                <w:ilvl w:val="0"/>
                <w:numId w:val="21"/>
              </w:numPr>
              <w:spacing w:after="80" w:line="240" w:lineRule="auto"/>
              <w:ind w:left="787" w:hanging="439"/>
            </w:pPr>
            <w:r>
              <w:t>Hydroelectric generation</w:t>
            </w:r>
          </w:p>
          <w:p w14:paraId="27877E93" w14:textId="48A071D0" w:rsidR="00080500" w:rsidRDefault="00080500" w:rsidP="0013417C">
            <w:pPr>
              <w:pStyle w:val="BodyText"/>
              <w:numPr>
                <w:ilvl w:val="0"/>
                <w:numId w:val="21"/>
              </w:numPr>
              <w:spacing w:after="80" w:line="240" w:lineRule="auto"/>
              <w:ind w:left="787" w:hanging="439"/>
            </w:pPr>
            <w:r>
              <w:t>Nuclear generation</w:t>
            </w:r>
          </w:p>
          <w:p w14:paraId="140F859A" w14:textId="4E3B1F10" w:rsidR="00080500" w:rsidRDefault="00080500" w:rsidP="0013417C">
            <w:pPr>
              <w:pStyle w:val="BodyText"/>
              <w:numPr>
                <w:ilvl w:val="0"/>
                <w:numId w:val="21"/>
              </w:numPr>
              <w:spacing w:after="80" w:line="240" w:lineRule="auto"/>
              <w:ind w:left="787" w:hanging="439"/>
            </w:pPr>
            <w:r>
              <w:t>Energy Storage</w:t>
            </w:r>
          </w:p>
          <w:p w14:paraId="32852144" w14:textId="4D23953C" w:rsidR="00080500" w:rsidRDefault="00080500" w:rsidP="0013417C">
            <w:pPr>
              <w:pStyle w:val="BodyText"/>
              <w:numPr>
                <w:ilvl w:val="0"/>
                <w:numId w:val="21"/>
              </w:numPr>
              <w:spacing w:after="80" w:line="240" w:lineRule="auto"/>
              <w:ind w:left="787" w:hanging="439"/>
            </w:pPr>
            <w:r>
              <w:t>Transmission interconnections with other jurisdictions</w:t>
            </w:r>
          </w:p>
          <w:p w14:paraId="44264790" w14:textId="6CDAF308" w:rsidR="00080500" w:rsidRPr="003E5E1C" w:rsidRDefault="00080500" w:rsidP="0013417C">
            <w:pPr>
              <w:pStyle w:val="BodyText"/>
              <w:numPr>
                <w:ilvl w:val="0"/>
                <w:numId w:val="21"/>
              </w:numPr>
              <w:spacing w:after="120" w:line="240" w:lineRule="auto"/>
              <w:ind w:left="787" w:hanging="439"/>
            </w:pPr>
            <w:r>
              <w:t>Offsets or Emissions Performance Credits</w:t>
            </w:r>
          </w:p>
        </w:tc>
        <w:tc>
          <w:tcPr>
            <w:tcW w:w="6814" w:type="dxa"/>
            <w:tcBorders>
              <w:top w:val="single" w:sz="4" w:space="0" w:color="auto"/>
              <w:left w:val="single" w:sz="4" w:space="0" w:color="auto"/>
              <w:bottom w:val="single" w:sz="4" w:space="0" w:color="auto"/>
              <w:right w:val="single" w:sz="4" w:space="0" w:color="auto"/>
            </w:tcBorders>
          </w:tcPr>
          <w:p w14:paraId="0B9434F6" w14:textId="77777777" w:rsidR="00080500" w:rsidRDefault="00080500" w:rsidP="007B49D4">
            <w:pPr>
              <w:pStyle w:val="BodyText"/>
              <w:spacing w:before="80" w:after="80"/>
            </w:pPr>
          </w:p>
        </w:tc>
      </w:tr>
      <w:tr w:rsidR="00080500" w14:paraId="1FC383DC" w14:textId="77777777" w:rsidTr="00080500">
        <w:tc>
          <w:tcPr>
            <w:tcW w:w="360" w:type="dxa"/>
            <w:vMerge/>
            <w:tcBorders>
              <w:top w:val="single" w:sz="4" w:space="0" w:color="auto"/>
              <w:left w:val="single" w:sz="4" w:space="0" w:color="auto"/>
              <w:bottom w:val="single" w:sz="4" w:space="0" w:color="auto"/>
              <w:right w:val="single" w:sz="4" w:space="0" w:color="auto"/>
            </w:tcBorders>
            <w:noWrap/>
          </w:tcPr>
          <w:p w14:paraId="48CA98DE" w14:textId="77777777" w:rsidR="00080500" w:rsidRDefault="00080500"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1F574FBF" w14:textId="3A9B55EA" w:rsidR="00080500" w:rsidRPr="00C14D86" w:rsidRDefault="00080500" w:rsidP="0098669B">
            <w:pPr>
              <w:pStyle w:val="ListParagraph"/>
              <w:numPr>
                <w:ilvl w:val="0"/>
                <w:numId w:val="20"/>
              </w:numPr>
              <w:spacing w:before="60" w:line="240" w:lineRule="auto"/>
              <w:ind w:left="346" w:hanging="346"/>
              <w:jc w:val="left"/>
              <w:rPr>
                <w:rFonts w:cs="Arial"/>
              </w:rPr>
            </w:pPr>
            <w:r w:rsidRPr="00C14D86">
              <w:rPr>
                <w:rFonts w:cs="Arial"/>
              </w:rPr>
              <w:t>Are there generation or emissions control technologies other than those listed in (</w:t>
            </w:r>
            <w:r w:rsidR="00830E55">
              <w:rPr>
                <w:rFonts w:cs="Arial"/>
              </w:rPr>
              <w:t>b</w:t>
            </w:r>
            <w:r w:rsidRPr="00C14D86">
              <w:rPr>
                <w:rFonts w:cs="Arial"/>
              </w:rPr>
              <w:t>), which you believe can contribute to meaningful reductions in greenhouse gas emissions, and enable a pathway to net-zero emissions in Alberta?</w:t>
            </w:r>
          </w:p>
        </w:tc>
        <w:tc>
          <w:tcPr>
            <w:tcW w:w="6814" w:type="dxa"/>
            <w:tcBorders>
              <w:top w:val="single" w:sz="4" w:space="0" w:color="auto"/>
              <w:left w:val="single" w:sz="4" w:space="0" w:color="auto"/>
              <w:bottom w:val="single" w:sz="4" w:space="0" w:color="auto"/>
              <w:right w:val="single" w:sz="4" w:space="0" w:color="auto"/>
            </w:tcBorders>
          </w:tcPr>
          <w:p w14:paraId="739B16B8" w14:textId="77777777" w:rsidR="00080500" w:rsidRDefault="00080500" w:rsidP="007B49D4">
            <w:pPr>
              <w:pStyle w:val="BodyText"/>
              <w:spacing w:before="80" w:after="80"/>
            </w:pPr>
          </w:p>
        </w:tc>
      </w:tr>
      <w:tr w:rsidR="00080500" w14:paraId="7030B58C" w14:textId="77777777" w:rsidTr="00080500">
        <w:tc>
          <w:tcPr>
            <w:tcW w:w="360" w:type="dxa"/>
            <w:vMerge/>
            <w:tcBorders>
              <w:top w:val="single" w:sz="4" w:space="0" w:color="auto"/>
              <w:left w:val="single" w:sz="4" w:space="0" w:color="auto"/>
              <w:bottom w:val="single" w:sz="4" w:space="0" w:color="auto"/>
              <w:right w:val="single" w:sz="4" w:space="0" w:color="auto"/>
            </w:tcBorders>
            <w:noWrap/>
          </w:tcPr>
          <w:p w14:paraId="33D2F344" w14:textId="77777777" w:rsidR="00080500" w:rsidRDefault="00080500"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3ECB42C8" w14:textId="2AD6D1B7" w:rsidR="00080500" w:rsidRPr="00C14D86" w:rsidRDefault="00080500" w:rsidP="0098669B">
            <w:pPr>
              <w:pStyle w:val="ListParagraph"/>
              <w:numPr>
                <w:ilvl w:val="0"/>
                <w:numId w:val="20"/>
              </w:numPr>
              <w:tabs>
                <w:tab w:val="clear" w:pos="720"/>
                <w:tab w:val="left" w:pos="348"/>
              </w:tabs>
              <w:spacing w:before="60" w:line="240" w:lineRule="auto"/>
              <w:ind w:left="346" w:hanging="346"/>
              <w:contextualSpacing w:val="0"/>
              <w:jc w:val="left"/>
              <w:rPr>
                <w:rFonts w:cs="Arial"/>
              </w:rPr>
            </w:pPr>
            <w:r w:rsidRPr="00C14D86">
              <w:rPr>
                <w:rFonts w:cs="Arial"/>
              </w:rPr>
              <w:t>Do any of the net-zero enabling technologies in (</w:t>
            </w:r>
            <w:r w:rsidR="00830E55">
              <w:rPr>
                <w:rFonts w:cs="Arial"/>
              </w:rPr>
              <w:t>b</w:t>
            </w:r>
            <w:r w:rsidRPr="00C14D86">
              <w:rPr>
                <w:rFonts w:cs="Arial"/>
              </w:rPr>
              <w:t>) or (</w:t>
            </w:r>
            <w:r w:rsidR="00830E55">
              <w:rPr>
                <w:rFonts w:cs="Arial"/>
              </w:rPr>
              <w:t>c</w:t>
            </w:r>
            <w:r w:rsidRPr="00C14D86">
              <w:rPr>
                <w:rFonts w:cs="Arial"/>
              </w:rPr>
              <w:t>), above, impose operational risks, challenges or benefits to the electric systems in Alberta? If so, please identify.</w:t>
            </w:r>
          </w:p>
        </w:tc>
        <w:tc>
          <w:tcPr>
            <w:tcW w:w="6814" w:type="dxa"/>
            <w:tcBorders>
              <w:top w:val="single" w:sz="4" w:space="0" w:color="auto"/>
              <w:left w:val="single" w:sz="4" w:space="0" w:color="auto"/>
              <w:bottom w:val="single" w:sz="4" w:space="0" w:color="auto"/>
              <w:right w:val="single" w:sz="4" w:space="0" w:color="auto"/>
            </w:tcBorders>
          </w:tcPr>
          <w:p w14:paraId="16CDCCA6" w14:textId="77777777" w:rsidR="00080500" w:rsidRDefault="00080500" w:rsidP="007B49D4">
            <w:pPr>
              <w:pStyle w:val="BodyText"/>
              <w:spacing w:before="80" w:after="80"/>
            </w:pPr>
          </w:p>
        </w:tc>
      </w:tr>
      <w:tr w:rsidR="00080500" w14:paraId="5C4A96CC" w14:textId="77777777" w:rsidTr="00FE750D">
        <w:tc>
          <w:tcPr>
            <w:tcW w:w="360" w:type="dxa"/>
            <w:vMerge/>
            <w:tcBorders>
              <w:top w:val="single" w:sz="4" w:space="0" w:color="auto"/>
              <w:left w:val="single" w:sz="4" w:space="0" w:color="auto"/>
              <w:bottom w:val="single" w:sz="4" w:space="0" w:color="auto"/>
              <w:right w:val="single" w:sz="4" w:space="0" w:color="auto"/>
            </w:tcBorders>
            <w:noWrap/>
          </w:tcPr>
          <w:p w14:paraId="58747A48" w14:textId="77777777" w:rsidR="00080500" w:rsidRDefault="00080500"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0784012A" w14:textId="3B88637F" w:rsidR="00080500" w:rsidRDefault="00080500" w:rsidP="0013417C">
            <w:pPr>
              <w:pStyle w:val="BodyText"/>
              <w:numPr>
                <w:ilvl w:val="0"/>
                <w:numId w:val="20"/>
              </w:numPr>
              <w:spacing w:after="240" w:line="240" w:lineRule="auto"/>
              <w:ind w:left="346" w:hanging="346"/>
            </w:pPr>
            <w:r>
              <w:t>Do</w:t>
            </w:r>
            <w:r w:rsidRPr="00080500">
              <w:t xml:space="preserve"> you expect the accounting of </w:t>
            </w:r>
            <w:r>
              <w:t>n</w:t>
            </w:r>
            <w:r w:rsidRPr="00080500">
              <w:t xml:space="preserve">et-zero emissions by 2035 in the electricity sector to require </w:t>
            </w:r>
            <w:r>
              <w:t>n</w:t>
            </w:r>
            <w:r w:rsidRPr="00080500">
              <w:t>et-zero emissions from cogeneration facilities? If so, what emissions control technologies do you believe can be most economically implemented at cogeneration facilities?</w:t>
            </w:r>
          </w:p>
        </w:tc>
        <w:tc>
          <w:tcPr>
            <w:tcW w:w="6814" w:type="dxa"/>
            <w:tcBorders>
              <w:top w:val="single" w:sz="4" w:space="0" w:color="auto"/>
              <w:left w:val="single" w:sz="4" w:space="0" w:color="auto"/>
              <w:bottom w:val="single" w:sz="4" w:space="0" w:color="auto"/>
              <w:right w:val="single" w:sz="4" w:space="0" w:color="auto"/>
            </w:tcBorders>
          </w:tcPr>
          <w:p w14:paraId="6E2D5609" w14:textId="77777777" w:rsidR="00080500" w:rsidRDefault="00080500" w:rsidP="007B49D4">
            <w:pPr>
              <w:pStyle w:val="BodyText"/>
              <w:spacing w:before="80" w:after="80"/>
            </w:pPr>
          </w:p>
        </w:tc>
      </w:tr>
      <w:tr w:rsidR="00FE750D" w14:paraId="3524F73F" w14:textId="77777777" w:rsidTr="0013417C">
        <w:trPr>
          <w:trHeight w:val="7284"/>
        </w:trPr>
        <w:tc>
          <w:tcPr>
            <w:tcW w:w="360" w:type="dxa"/>
            <w:vMerge w:val="restart"/>
            <w:tcBorders>
              <w:top w:val="single" w:sz="4" w:space="0" w:color="auto"/>
              <w:left w:val="single" w:sz="4" w:space="0" w:color="auto"/>
              <w:bottom w:val="single" w:sz="4" w:space="0" w:color="auto"/>
              <w:right w:val="single" w:sz="4" w:space="0" w:color="auto"/>
            </w:tcBorders>
            <w:noWrap/>
          </w:tcPr>
          <w:p w14:paraId="2998A978" w14:textId="3E3B7ACC" w:rsidR="00FE750D" w:rsidRPr="00D263C2" w:rsidRDefault="00FE750D" w:rsidP="00080500">
            <w:pPr>
              <w:pStyle w:val="BodyText"/>
              <w:spacing w:before="120" w:after="80" w:line="240" w:lineRule="auto"/>
              <w:ind w:left="-115"/>
              <w:jc w:val="center"/>
              <w:rPr>
                <w:b/>
                <w:i/>
                <w:color w:val="00407A"/>
                <w:szCs w:val="20"/>
              </w:rPr>
            </w:pPr>
            <w:r w:rsidRPr="00D263C2">
              <w:rPr>
                <w:b/>
                <w:i/>
                <w:color w:val="00407A"/>
                <w:szCs w:val="20"/>
              </w:rPr>
              <w:t>6</w:t>
            </w:r>
          </w:p>
        </w:tc>
        <w:tc>
          <w:tcPr>
            <w:tcW w:w="12664" w:type="dxa"/>
            <w:gridSpan w:val="2"/>
            <w:tcBorders>
              <w:top w:val="single" w:sz="4" w:space="0" w:color="auto"/>
              <w:left w:val="single" w:sz="4" w:space="0" w:color="auto"/>
              <w:bottom w:val="single" w:sz="4" w:space="0" w:color="auto"/>
              <w:right w:val="single" w:sz="4" w:space="0" w:color="auto"/>
            </w:tcBorders>
          </w:tcPr>
          <w:p w14:paraId="080A8A4D" w14:textId="26AF2E7E" w:rsidR="00FE750D" w:rsidRPr="00D263C2" w:rsidRDefault="00FE750D" w:rsidP="0013417C">
            <w:pPr>
              <w:pStyle w:val="Heading3"/>
            </w:pPr>
            <w:r w:rsidRPr="00D263C2">
              <w:t>Net-Zero Generation Technology Costs</w:t>
            </w:r>
          </w:p>
          <w:p w14:paraId="2808DE2F" w14:textId="0FF73B3C" w:rsidR="00FE750D" w:rsidRDefault="00FE750D" w:rsidP="0098669B">
            <w:pPr>
              <w:pStyle w:val="ListParagraph"/>
              <w:spacing w:before="60" w:after="160" w:line="240" w:lineRule="auto"/>
              <w:ind w:left="0"/>
              <w:contextualSpacing w:val="0"/>
              <w:jc w:val="left"/>
              <w:rPr>
                <w:rFonts w:cs="Arial"/>
                <w:szCs w:val="20"/>
              </w:rPr>
            </w:pPr>
            <w:r w:rsidRPr="00080500">
              <w:rPr>
                <w:rFonts w:cs="Arial"/>
                <w:szCs w:val="20"/>
              </w:rPr>
              <w:t xml:space="preserve">The following table contains select net-zero enabling generation technologies and operational specifications on potential future generation developments. The data herein has been primarily derived from the US Energy Information Administration’s </w:t>
            </w:r>
            <w:r w:rsidRPr="00080500">
              <w:rPr>
                <w:rFonts w:cs="Arial"/>
                <w:i/>
                <w:iCs/>
                <w:szCs w:val="20"/>
              </w:rPr>
              <w:t>Capital Cost and Performance Characteristic Estimates for Utility Scale Electric Power Generating Technologies</w:t>
            </w:r>
            <w:r w:rsidRPr="00080500">
              <w:rPr>
                <w:rStyle w:val="FootnoteReference"/>
                <w:rFonts w:cs="Arial"/>
                <w:i/>
                <w:iCs/>
                <w:szCs w:val="20"/>
              </w:rPr>
              <w:footnoteReference w:id="4"/>
            </w:r>
            <w:r w:rsidRPr="00080500">
              <w:rPr>
                <w:rFonts w:cs="Arial"/>
                <w:szCs w:val="20"/>
              </w:rPr>
              <w:t>, then converted to Canadian dollars using an exchange rate of 1.26 CAD/USD</w:t>
            </w:r>
            <w:r w:rsidRPr="00080500">
              <w:rPr>
                <w:rFonts w:cs="Arial"/>
                <w:i/>
                <w:iCs/>
                <w:szCs w:val="20"/>
              </w:rPr>
              <w:t>.</w:t>
            </w:r>
            <w:r w:rsidRPr="00080500">
              <w:rPr>
                <w:rFonts w:cs="Arial"/>
                <w:szCs w:val="20"/>
              </w:rPr>
              <w:t xml:space="preserve"> Hydrogen-fired combined cycle costs were derived from the cost estimates for publicly announced combined-cycle generation costs, assuming that the costs for hydrogen-capable generating stations will be similar to advanced combined-cycle plants. </w:t>
            </w:r>
          </w:p>
          <w:tbl>
            <w:tblPr>
              <w:tblStyle w:val="TableGrid"/>
              <w:tblW w:w="0" w:type="auto"/>
              <w:tblLayout w:type="fixed"/>
              <w:tblLook w:val="04A0" w:firstRow="1" w:lastRow="0" w:firstColumn="1" w:lastColumn="0" w:noHBand="0" w:noVBand="1"/>
            </w:tblPr>
            <w:tblGrid>
              <w:gridCol w:w="2864"/>
              <w:gridCol w:w="1890"/>
              <w:gridCol w:w="1890"/>
              <w:gridCol w:w="1890"/>
              <w:gridCol w:w="1890"/>
              <w:gridCol w:w="1890"/>
            </w:tblGrid>
            <w:tr w:rsidR="00FE750D" w14:paraId="5A0DF0BF" w14:textId="77777777" w:rsidTr="00FE750D">
              <w:trPr>
                <w:trHeight w:val="262"/>
              </w:trPr>
              <w:tc>
                <w:tcPr>
                  <w:tcW w:w="2864" w:type="dxa"/>
                  <w:shd w:val="clear" w:color="auto" w:fill="1F497D" w:themeFill="text2"/>
                  <w:vAlign w:val="center"/>
                </w:tcPr>
                <w:p w14:paraId="22518ECD" w14:textId="77777777" w:rsidR="00FE750D" w:rsidRPr="00080500" w:rsidRDefault="00FE750D" w:rsidP="00FE750D">
                  <w:pPr>
                    <w:pStyle w:val="ListParagraph"/>
                    <w:spacing w:line="240" w:lineRule="auto"/>
                    <w:ind w:left="0"/>
                    <w:contextualSpacing w:val="0"/>
                    <w:jc w:val="center"/>
                    <w:rPr>
                      <w:rFonts w:cs="Arial"/>
                      <w:b/>
                      <w:bCs/>
                      <w:color w:val="FFFFFF" w:themeColor="background1"/>
                      <w:szCs w:val="20"/>
                    </w:rPr>
                  </w:pPr>
                  <w:r w:rsidRPr="00080500">
                    <w:rPr>
                      <w:rFonts w:cs="Arial"/>
                      <w:b/>
                      <w:bCs/>
                      <w:color w:val="FFFFFF" w:themeColor="background1"/>
                      <w:szCs w:val="20"/>
                    </w:rPr>
                    <w:t>Generation Type</w:t>
                  </w:r>
                </w:p>
              </w:tc>
              <w:tc>
                <w:tcPr>
                  <w:tcW w:w="1890" w:type="dxa"/>
                  <w:shd w:val="clear" w:color="auto" w:fill="1F497D" w:themeFill="text2"/>
                  <w:vAlign w:val="center"/>
                </w:tcPr>
                <w:p w14:paraId="2DE00D57" w14:textId="77777777" w:rsidR="00FE750D" w:rsidRPr="00080500" w:rsidRDefault="00FE750D" w:rsidP="00FE750D">
                  <w:pPr>
                    <w:pStyle w:val="ListParagraph"/>
                    <w:spacing w:line="240" w:lineRule="auto"/>
                    <w:ind w:left="0"/>
                    <w:contextualSpacing w:val="0"/>
                    <w:jc w:val="center"/>
                    <w:rPr>
                      <w:rFonts w:cs="Arial"/>
                      <w:b/>
                      <w:bCs/>
                      <w:color w:val="FFFFFF" w:themeColor="background1"/>
                      <w:szCs w:val="20"/>
                    </w:rPr>
                  </w:pPr>
                  <w:r w:rsidRPr="00080500">
                    <w:rPr>
                      <w:rFonts w:cs="Arial"/>
                      <w:b/>
                      <w:bCs/>
                      <w:color w:val="FFFFFF" w:themeColor="background1"/>
                      <w:szCs w:val="20"/>
                    </w:rPr>
                    <w:t>Plant Capacity, MW</w:t>
                  </w:r>
                </w:p>
              </w:tc>
              <w:tc>
                <w:tcPr>
                  <w:tcW w:w="1890" w:type="dxa"/>
                  <w:shd w:val="clear" w:color="auto" w:fill="1F497D" w:themeFill="text2"/>
                  <w:vAlign w:val="center"/>
                </w:tcPr>
                <w:p w14:paraId="076C854C" w14:textId="77777777" w:rsidR="00FE750D" w:rsidRPr="00080500" w:rsidRDefault="00FE750D" w:rsidP="00FE750D">
                  <w:pPr>
                    <w:pStyle w:val="ListParagraph"/>
                    <w:spacing w:line="240" w:lineRule="auto"/>
                    <w:ind w:left="0"/>
                    <w:contextualSpacing w:val="0"/>
                    <w:jc w:val="center"/>
                    <w:rPr>
                      <w:rFonts w:cs="Arial"/>
                      <w:b/>
                      <w:bCs/>
                      <w:color w:val="FFFFFF" w:themeColor="background1"/>
                      <w:szCs w:val="20"/>
                    </w:rPr>
                  </w:pPr>
                  <w:r w:rsidRPr="00080500">
                    <w:rPr>
                      <w:rFonts w:cs="Arial"/>
                      <w:b/>
                      <w:bCs/>
                      <w:color w:val="FFFFFF" w:themeColor="background1"/>
                      <w:szCs w:val="20"/>
                    </w:rPr>
                    <w:t>Capital Cost, $/kW</w:t>
                  </w:r>
                </w:p>
              </w:tc>
              <w:tc>
                <w:tcPr>
                  <w:tcW w:w="1890" w:type="dxa"/>
                  <w:shd w:val="clear" w:color="auto" w:fill="1F497D" w:themeFill="text2"/>
                  <w:vAlign w:val="center"/>
                </w:tcPr>
                <w:p w14:paraId="69425B0C" w14:textId="77777777" w:rsidR="00FE750D" w:rsidRPr="00080500" w:rsidRDefault="00FE750D" w:rsidP="00FE750D">
                  <w:pPr>
                    <w:pStyle w:val="ListParagraph"/>
                    <w:spacing w:line="240" w:lineRule="auto"/>
                    <w:ind w:left="0"/>
                    <w:contextualSpacing w:val="0"/>
                    <w:jc w:val="center"/>
                    <w:rPr>
                      <w:rFonts w:cs="Arial"/>
                      <w:b/>
                      <w:bCs/>
                      <w:color w:val="FFFFFF" w:themeColor="background1"/>
                      <w:szCs w:val="20"/>
                    </w:rPr>
                  </w:pPr>
                  <w:r w:rsidRPr="00080500">
                    <w:rPr>
                      <w:rFonts w:cs="Arial"/>
                      <w:b/>
                      <w:bCs/>
                      <w:color w:val="FFFFFF" w:themeColor="background1"/>
                      <w:szCs w:val="20"/>
                    </w:rPr>
                    <w:t>Fixed O&amp;M Costs, $/kW-yr</w:t>
                  </w:r>
                </w:p>
              </w:tc>
              <w:tc>
                <w:tcPr>
                  <w:tcW w:w="1890" w:type="dxa"/>
                  <w:shd w:val="clear" w:color="auto" w:fill="1F497D" w:themeFill="text2"/>
                  <w:vAlign w:val="center"/>
                </w:tcPr>
                <w:p w14:paraId="31ABBC2B" w14:textId="77777777" w:rsidR="00FE750D" w:rsidRPr="00080500" w:rsidRDefault="00FE750D" w:rsidP="00FE750D">
                  <w:pPr>
                    <w:pStyle w:val="ListParagraph"/>
                    <w:spacing w:line="240" w:lineRule="auto"/>
                    <w:ind w:left="0"/>
                    <w:contextualSpacing w:val="0"/>
                    <w:jc w:val="center"/>
                    <w:rPr>
                      <w:rFonts w:cs="Arial"/>
                      <w:b/>
                      <w:bCs/>
                      <w:color w:val="FFFFFF" w:themeColor="background1"/>
                      <w:szCs w:val="20"/>
                    </w:rPr>
                  </w:pPr>
                  <w:r w:rsidRPr="00080500">
                    <w:rPr>
                      <w:rFonts w:cs="Arial"/>
                      <w:b/>
                      <w:bCs/>
                      <w:color w:val="FFFFFF" w:themeColor="background1"/>
                      <w:szCs w:val="20"/>
                    </w:rPr>
                    <w:t>Variable O&amp;M Costs, $/MWh</w:t>
                  </w:r>
                </w:p>
              </w:tc>
              <w:tc>
                <w:tcPr>
                  <w:tcW w:w="1890" w:type="dxa"/>
                  <w:shd w:val="clear" w:color="auto" w:fill="1F497D" w:themeFill="text2"/>
                  <w:vAlign w:val="center"/>
                </w:tcPr>
                <w:p w14:paraId="245E8B2D" w14:textId="77777777" w:rsidR="00FE750D" w:rsidRPr="00080500" w:rsidRDefault="00FE750D" w:rsidP="00FE750D">
                  <w:pPr>
                    <w:pStyle w:val="ListParagraph"/>
                    <w:spacing w:line="240" w:lineRule="auto"/>
                    <w:ind w:left="0"/>
                    <w:contextualSpacing w:val="0"/>
                    <w:jc w:val="center"/>
                    <w:rPr>
                      <w:rFonts w:cs="Arial"/>
                      <w:b/>
                      <w:bCs/>
                      <w:color w:val="FFFFFF" w:themeColor="background1"/>
                      <w:szCs w:val="20"/>
                    </w:rPr>
                  </w:pPr>
                  <w:r w:rsidRPr="00080500">
                    <w:rPr>
                      <w:rFonts w:cs="Arial"/>
                      <w:b/>
                      <w:bCs/>
                      <w:color w:val="FFFFFF" w:themeColor="background1"/>
                      <w:szCs w:val="20"/>
                    </w:rPr>
                    <w:t>Heat Rate (HHV) or Efficiency, GJ/MWh or %</w:t>
                  </w:r>
                </w:p>
              </w:tc>
            </w:tr>
            <w:tr w:rsidR="00FE750D" w14:paraId="73D65ECA" w14:textId="77777777" w:rsidTr="00FE750D">
              <w:trPr>
                <w:trHeight w:val="283"/>
              </w:trPr>
              <w:tc>
                <w:tcPr>
                  <w:tcW w:w="2864" w:type="dxa"/>
                  <w:vAlign w:val="center"/>
                </w:tcPr>
                <w:p w14:paraId="63D9C074"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Fuel Cell</w:t>
                  </w:r>
                </w:p>
              </w:tc>
              <w:tc>
                <w:tcPr>
                  <w:tcW w:w="1890" w:type="dxa"/>
                  <w:vAlign w:val="center"/>
                </w:tcPr>
                <w:p w14:paraId="33B8FFA7"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10</w:t>
                  </w:r>
                </w:p>
              </w:tc>
              <w:tc>
                <w:tcPr>
                  <w:tcW w:w="1890" w:type="dxa"/>
                  <w:vAlign w:val="center"/>
                </w:tcPr>
                <w:p w14:paraId="5B347784"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8,442</w:t>
                  </w:r>
                </w:p>
              </w:tc>
              <w:tc>
                <w:tcPr>
                  <w:tcW w:w="1890" w:type="dxa"/>
                  <w:vAlign w:val="center"/>
                </w:tcPr>
                <w:p w14:paraId="06D9F898"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38.78</w:t>
                  </w:r>
                </w:p>
              </w:tc>
              <w:tc>
                <w:tcPr>
                  <w:tcW w:w="1890" w:type="dxa"/>
                  <w:vAlign w:val="center"/>
                </w:tcPr>
                <w:p w14:paraId="7322996F"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0.74</w:t>
                  </w:r>
                </w:p>
              </w:tc>
              <w:tc>
                <w:tcPr>
                  <w:tcW w:w="1890" w:type="dxa"/>
                  <w:vAlign w:val="center"/>
                </w:tcPr>
                <w:p w14:paraId="11653CB3"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6.83 GJ/MWh</w:t>
                  </w:r>
                </w:p>
              </w:tc>
            </w:tr>
            <w:tr w:rsidR="00FE750D" w14:paraId="02D63C71" w14:textId="77777777" w:rsidTr="00FE750D">
              <w:trPr>
                <w:trHeight w:val="262"/>
              </w:trPr>
              <w:tc>
                <w:tcPr>
                  <w:tcW w:w="2864" w:type="dxa"/>
                  <w:vAlign w:val="center"/>
                </w:tcPr>
                <w:p w14:paraId="01FF5B54"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Advanced Nuclear Fission Reactor</w:t>
                  </w:r>
                </w:p>
              </w:tc>
              <w:tc>
                <w:tcPr>
                  <w:tcW w:w="1890" w:type="dxa"/>
                  <w:vAlign w:val="center"/>
                </w:tcPr>
                <w:p w14:paraId="3C5F6761"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2,156</w:t>
                  </w:r>
                </w:p>
              </w:tc>
              <w:tc>
                <w:tcPr>
                  <w:tcW w:w="1890" w:type="dxa"/>
                  <w:vAlign w:val="center"/>
                </w:tcPr>
                <w:p w14:paraId="330DC11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7,612</w:t>
                  </w:r>
                </w:p>
              </w:tc>
              <w:tc>
                <w:tcPr>
                  <w:tcW w:w="1890" w:type="dxa"/>
                  <w:vAlign w:val="center"/>
                </w:tcPr>
                <w:p w14:paraId="31B67451"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153.27</w:t>
                  </w:r>
                </w:p>
              </w:tc>
              <w:tc>
                <w:tcPr>
                  <w:tcW w:w="1890" w:type="dxa"/>
                  <w:vAlign w:val="center"/>
                </w:tcPr>
                <w:p w14:paraId="3F9907CA"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2.99</w:t>
                  </w:r>
                </w:p>
              </w:tc>
              <w:tc>
                <w:tcPr>
                  <w:tcW w:w="1890" w:type="dxa"/>
                  <w:vAlign w:val="center"/>
                </w:tcPr>
                <w:p w14:paraId="6CCCAB58"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11.19 GJ/MWh</w:t>
                  </w:r>
                </w:p>
              </w:tc>
            </w:tr>
            <w:tr w:rsidR="00FE750D" w14:paraId="013C3F0C" w14:textId="77777777" w:rsidTr="00FE750D">
              <w:trPr>
                <w:trHeight w:val="283"/>
              </w:trPr>
              <w:tc>
                <w:tcPr>
                  <w:tcW w:w="2864" w:type="dxa"/>
                  <w:vAlign w:val="center"/>
                </w:tcPr>
                <w:p w14:paraId="6FD97D0F"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Small Modular Reactor – Nuclear Fission</w:t>
                  </w:r>
                </w:p>
              </w:tc>
              <w:tc>
                <w:tcPr>
                  <w:tcW w:w="1890" w:type="dxa"/>
                  <w:vAlign w:val="center"/>
                </w:tcPr>
                <w:p w14:paraId="059FA9A2"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600</w:t>
                  </w:r>
                </w:p>
              </w:tc>
              <w:tc>
                <w:tcPr>
                  <w:tcW w:w="1890" w:type="dxa"/>
                  <w:vAlign w:val="center"/>
                </w:tcPr>
                <w:p w14:paraId="593B55BC"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7,801</w:t>
                  </w:r>
                </w:p>
              </w:tc>
              <w:tc>
                <w:tcPr>
                  <w:tcW w:w="1890" w:type="dxa"/>
                  <w:vAlign w:val="center"/>
                </w:tcPr>
                <w:p w14:paraId="5454FBB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119.70</w:t>
                  </w:r>
                </w:p>
              </w:tc>
              <w:tc>
                <w:tcPr>
                  <w:tcW w:w="1890" w:type="dxa"/>
                  <w:vAlign w:val="center"/>
                </w:tcPr>
                <w:p w14:paraId="5B4A77D2"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3.78</w:t>
                  </w:r>
                </w:p>
              </w:tc>
              <w:tc>
                <w:tcPr>
                  <w:tcW w:w="1890" w:type="dxa"/>
                  <w:vAlign w:val="center"/>
                </w:tcPr>
                <w:p w14:paraId="52E39E49"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10.60 GJ/MWh</w:t>
                  </w:r>
                </w:p>
              </w:tc>
            </w:tr>
            <w:tr w:rsidR="00FE750D" w14:paraId="6C2F5413" w14:textId="77777777" w:rsidTr="00FE750D">
              <w:trPr>
                <w:trHeight w:val="262"/>
              </w:trPr>
              <w:tc>
                <w:tcPr>
                  <w:tcW w:w="2864" w:type="dxa"/>
                  <w:vAlign w:val="center"/>
                </w:tcPr>
                <w:p w14:paraId="7F4B71B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Hydroelectric</w:t>
                  </w:r>
                </w:p>
              </w:tc>
              <w:tc>
                <w:tcPr>
                  <w:tcW w:w="1890" w:type="dxa"/>
                  <w:vAlign w:val="center"/>
                </w:tcPr>
                <w:p w14:paraId="0C5783AF"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100</w:t>
                  </w:r>
                </w:p>
              </w:tc>
              <w:tc>
                <w:tcPr>
                  <w:tcW w:w="1890" w:type="dxa"/>
                  <w:vAlign w:val="center"/>
                </w:tcPr>
                <w:p w14:paraId="146380C2"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6,698</w:t>
                  </w:r>
                </w:p>
              </w:tc>
              <w:tc>
                <w:tcPr>
                  <w:tcW w:w="1890" w:type="dxa"/>
                  <w:vAlign w:val="center"/>
                </w:tcPr>
                <w:p w14:paraId="484F3E16"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37.62</w:t>
                  </w:r>
                </w:p>
              </w:tc>
              <w:tc>
                <w:tcPr>
                  <w:tcW w:w="1890" w:type="dxa"/>
                  <w:vAlign w:val="center"/>
                </w:tcPr>
                <w:p w14:paraId="230DA0E5"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c>
                <w:tcPr>
                  <w:tcW w:w="1890" w:type="dxa"/>
                  <w:vAlign w:val="center"/>
                </w:tcPr>
                <w:p w14:paraId="5CE22EE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r>
            <w:tr w:rsidR="00FE750D" w14:paraId="1958473C" w14:textId="77777777" w:rsidTr="00FE750D">
              <w:trPr>
                <w:trHeight w:val="262"/>
              </w:trPr>
              <w:tc>
                <w:tcPr>
                  <w:tcW w:w="2864" w:type="dxa"/>
                  <w:vAlign w:val="center"/>
                </w:tcPr>
                <w:p w14:paraId="6EB94127"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Battery Energy Storage</w:t>
                  </w:r>
                </w:p>
              </w:tc>
              <w:tc>
                <w:tcPr>
                  <w:tcW w:w="1890" w:type="dxa"/>
                  <w:vAlign w:val="center"/>
                </w:tcPr>
                <w:p w14:paraId="540576D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50 (200MWh)</w:t>
                  </w:r>
                </w:p>
              </w:tc>
              <w:tc>
                <w:tcPr>
                  <w:tcW w:w="1890" w:type="dxa"/>
                  <w:vAlign w:val="center"/>
                </w:tcPr>
                <w:p w14:paraId="70AE0CAB"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1,750</w:t>
                  </w:r>
                </w:p>
              </w:tc>
              <w:tc>
                <w:tcPr>
                  <w:tcW w:w="1890" w:type="dxa"/>
                  <w:vAlign w:val="center"/>
                </w:tcPr>
                <w:p w14:paraId="6028FD25"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31.25</w:t>
                  </w:r>
                </w:p>
              </w:tc>
              <w:tc>
                <w:tcPr>
                  <w:tcW w:w="1890" w:type="dxa"/>
                  <w:vAlign w:val="center"/>
                </w:tcPr>
                <w:p w14:paraId="1F846C8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c>
                <w:tcPr>
                  <w:tcW w:w="1890" w:type="dxa"/>
                  <w:vAlign w:val="center"/>
                </w:tcPr>
                <w:p w14:paraId="36453D95"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80% round trip efficiency</w:t>
                  </w:r>
                </w:p>
              </w:tc>
            </w:tr>
            <w:tr w:rsidR="00FE750D" w14:paraId="334A850E" w14:textId="77777777" w:rsidTr="00FE750D">
              <w:trPr>
                <w:trHeight w:val="262"/>
              </w:trPr>
              <w:tc>
                <w:tcPr>
                  <w:tcW w:w="2864" w:type="dxa"/>
                  <w:vAlign w:val="center"/>
                </w:tcPr>
                <w:p w14:paraId="6AB194EC"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Wind Generation</w:t>
                  </w:r>
                </w:p>
              </w:tc>
              <w:tc>
                <w:tcPr>
                  <w:tcW w:w="1890" w:type="dxa"/>
                  <w:vAlign w:val="center"/>
                </w:tcPr>
                <w:p w14:paraId="72A6E3DC" w14:textId="65CB07D9"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200</w:t>
                  </w:r>
                </w:p>
              </w:tc>
              <w:tc>
                <w:tcPr>
                  <w:tcW w:w="1890" w:type="dxa"/>
                  <w:vAlign w:val="center"/>
                </w:tcPr>
                <w:p w14:paraId="07806BAE"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1,594</w:t>
                  </w:r>
                </w:p>
              </w:tc>
              <w:tc>
                <w:tcPr>
                  <w:tcW w:w="1890" w:type="dxa"/>
                  <w:vAlign w:val="center"/>
                </w:tcPr>
                <w:p w14:paraId="64AFB652"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33.19</w:t>
                  </w:r>
                </w:p>
              </w:tc>
              <w:tc>
                <w:tcPr>
                  <w:tcW w:w="1890" w:type="dxa"/>
                  <w:vAlign w:val="center"/>
                </w:tcPr>
                <w:p w14:paraId="43F245E6"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c>
                <w:tcPr>
                  <w:tcW w:w="1890" w:type="dxa"/>
                  <w:vAlign w:val="center"/>
                </w:tcPr>
                <w:p w14:paraId="407067CA"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r>
            <w:tr w:rsidR="00FE750D" w14:paraId="11FE5F56" w14:textId="77777777" w:rsidTr="00FE750D">
              <w:trPr>
                <w:trHeight w:val="262"/>
              </w:trPr>
              <w:tc>
                <w:tcPr>
                  <w:tcW w:w="2864" w:type="dxa"/>
                  <w:vAlign w:val="center"/>
                </w:tcPr>
                <w:p w14:paraId="4CDF274D"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Solar Photovoltaic Generation</w:t>
                  </w:r>
                </w:p>
              </w:tc>
              <w:tc>
                <w:tcPr>
                  <w:tcW w:w="1890" w:type="dxa"/>
                  <w:vAlign w:val="center"/>
                </w:tcPr>
                <w:p w14:paraId="27F39E2C"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150</w:t>
                  </w:r>
                </w:p>
              </w:tc>
              <w:tc>
                <w:tcPr>
                  <w:tcW w:w="1890" w:type="dxa"/>
                  <w:vAlign w:val="center"/>
                </w:tcPr>
                <w:p w14:paraId="4807D8B9"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1,654</w:t>
                  </w:r>
                </w:p>
              </w:tc>
              <w:tc>
                <w:tcPr>
                  <w:tcW w:w="1890" w:type="dxa"/>
                  <w:vAlign w:val="center"/>
                </w:tcPr>
                <w:p w14:paraId="701209C5"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19.22</w:t>
                  </w:r>
                </w:p>
              </w:tc>
              <w:tc>
                <w:tcPr>
                  <w:tcW w:w="1890" w:type="dxa"/>
                  <w:vAlign w:val="center"/>
                </w:tcPr>
                <w:p w14:paraId="7F0DBF3A"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c>
                <w:tcPr>
                  <w:tcW w:w="1890" w:type="dxa"/>
                  <w:vAlign w:val="center"/>
                </w:tcPr>
                <w:p w14:paraId="4D6E0D3B"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w:t>
                  </w:r>
                </w:p>
              </w:tc>
            </w:tr>
            <w:tr w:rsidR="00FE750D" w14:paraId="4EF04A44" w14:textId="77777777" w:rsidTr="00FE750D">
              <w:trPr>
                <w:trHeight w:val="262"/>
              </w:trPr>
              <w:tc>
                <w:tcPr>
                  <w:tcW w:w="2864" w:type="dxa"/>
                </w:tcPr>
                <w:p w14:paraId="669C23FB"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Combined Cycle with CCUS</w:t>
                  </w:r>
                </w:p>
              </w:tc>
              <w:tc>
                <w:tcPr>
                  <w:tcW w:w="1890" w:type="dxa"/>
                  <w:vAlign w:val="center"/>
                </w:tcPr>
                <w:p w14:paraId="0F1D47CD"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377</w:t>
                  </w:r>
                </w:p>
              </w:tc>
              <w:tc>
                <w:tcPr>
                  <w:tcW w:w="1890" w:type="dxa"/>
                  <w:vAlign w:val="center"/>
                </w:tcPr>
                <w:p w14:paraId="7158415C"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3,126</w:t>
                  </w:r>
                </w:p>
              </w:tc>
              <w:tc>
                <w:tcPr>
                  <w:tcW w:w="1890" w:type="dxa"/>
                  <w:vAlign w:val="center"/>
                </w:tcPr>
                <w:p w14:paraId="61D067F9"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34.78</w:t>
                  </w:r>
                </w:p>
              </w:tc>
              <w:tc>
                <w:tcPr>
                  <w:tcW w:w="1890" w:type="dxa"/>
                  <w:vAlign w:val="center"/>
                </w:tcPr>
                <w:p w14:paraId="1331978C"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7.36</w:t>
                  </w:r>
                </w:p>
              </w:tc>
              <w:tc>
                <w:tcPr>
                  <w:tcW w:w="1890" w:type="dxa"/>
                  <w:vAlign w:val="center"/>
                </w:tcPr>
                <w:p w14:paraId="708F9266"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7.52</w:t>
                  </w:r>
                </w:p>
              </w:tc>
            </w:tr>
            <w:tr w:rsidR="00FE750D" w14:paraId="0CA21025" w14:textId="77777777" w:rsidTr="00FE750D">
              <w:trPr>
                <w:trHeight w:val="262"/>
              </w:trPr>
              <w:tc>
                <w:tcPr>
                  <w:tcW w:w="2864" w:type="dxa"/>
                </w:tcPr>
                <w:p w14:paraId="735DEC3D"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Hydrogen-Fired Combined Cycle</w:t>
                  </w:r>
                </w:p>
              </w:tc>
              <w:tc>
                <w:tcPr>
                  <w:tcW w:w="1890" w:type="dxa"/>
                  <w:vAlign w:val="center"/>
                </w:tcPr>
                <w:p w14:paraId="753CE2AF"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450</w:t>
                  </w:r>
                </w:p>
              </w:tc>
              <w:tc>
                <w:tcPr>
                  <w:tcW w:w="1890" w:type="dxa"/>
                  <w:vAlign w:val="center"/>
                </w:tcPr>
                <w:p w14:paraId="3BD13D99"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1,667</w:t>
                  </w:r>
                </w:p>
              </w:tc>
              <w:tc>
                <w:tcPr>
                  <w:tcW w:w="1890" w:type="dxa"/>
                  <w:vAlign w:val="center"/>
                </w:tcPr>
                <w:p w14:paraId="6534F151"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52.84</w:t>
                  </w:r>
                </w:p>
              </w:tc>
              <w:tc>
                <w:tcPr>
                  <w:tcW w:w="1890" w:type="dxa"/>
                  <w:vAlign w:val="center"/>
                </w:tcPr>
                <w:p w14:paraId="3B1AAF5B"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2.65</w:t>
                  </w:r>
                </w:p>
              </w:tc>
              <w:tc>
                <w:tcPr>
                  <w:tcW w:w="1890" w:type="dxa"/>
                  <w:vAlign w:val="center"/>
                </w:tcPr>
                <w:p w14:paraId="09C6045D" w14:textId="77777777" w:rsidR="00FE750D" w:rsidRPr="00080500" w:rsidRDefault="00FE750D" w:rsidP="00FE750D">
                  <w:pPr>
                    <w:pStyle w:val="ListParagraph"/>
                    <w:spacing w:before="60" w:after="60" w:line="240" w:lineRule="auto"/>
                    <w:ind w:left="0"/>
                    <w:contextualSpacing w:val="0"/>
                    <w:jc w:val="left"/>
                    <w:rPr>
                      <w:rFonts w:cs="Arial"/>
                      <w:szCs w:val="20"/>
                    </w:rPr>
                  </w:pPr>
                  <w:r w:rsidRPr="00080500">
                    <w:rPr>
                      <w:rFonts w:cs="Arial"/>
                      <w:szCs w:val="20"/>
                    </w:rPr>
                    <w:t>6.79</w:t>
                  </w:r>
                </w:p>
              </w:tc>
            </w:tr>
          </w:tbl>
          <w:p w14:paraId="789CDF07" w14:textId="7A8A68EB" w:rsidR="00FE750D" w:rsidRDefault="00FE750D" w:rsidP="007B49D4">
            <w:pPr>
              <w:pStyle w:val="BodyText"/>
              <w:spacing w:before="80" w:after="80"/>
            </w:pPr>
          </w:p>
        </w:tc>
      </w:tr>
      <w:tr w:rsidR="00FE750D" w14:paraId="32084D98" w14:textId="77777777" w:rsidTr="00FE750D">
        <w:tc>
          <w:tcPr>
            <w:tcW w:w="360" w:type="dxa"/>
            <w:vMerge/>
            <w:tcBorders>
              <w:top w:val="single" w:sz="4" w:space="0" w:color="auto"/>
              <w:left w:val="single" w:sz="4" w:space="0" w:color="auto"/>
              <w:bottom w:val="single" w:sz="4" w:space="0" w:color="auto"/>
              <w:right w:val="single" w:sz="4" w:space="0" w:color="auto"/>
            </w:tcBorders>
            <w:noWrap/>
          </w:tcPr>
          <w:p w14:paraId="0AED4A21" w14:textId="77777777" w:rsidR="00FE750D" w:rsidRDefault="00FE750D"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4C418ECE" w14:textId="5F746C9E" w:rsidR="00FE750D" w:rsidRDefault="00FE750D" w:rsidP="0098669B">
            <w:pPr>
              <w:pStyle w:val="BodyText"/>
              <w:numPr>
                <w:ilvl w:val="0"/>
                <w:numId w:val="22"/>
              </w:numPr>
              <w:spacing w:after="120" w:line="240" w:lineRule="auto"/>
            </w:pPr>
            <w:r w:rsidRPr="00080500">
              <w:t>Do you believe that these are representative of the costs associated with potential future Alberta net-zero generation technologies? How do you expect the cost of these technologies to change by 2035?</w:t>
            </w:r>
          </w:p>
        </w:tc>
        <w:tc>
          <w:tcPr>
            <w:tcW w:w="6814" w:type="dxa"/>
            <w:tcBorders>
              <w:top w:val="single" w:sz="4" w:space="0" w:color="auto"/>
              <w:left w:val="single" w:sz="4" w:space="0" w:color="auto"/>
              <w:bottom w:val="single" w:sz="4" w:space="0" w:color="auto"/>
              <w:right w:val="single" w:sz="4" w:space="0" w:color="auto"/>
            </w:tcBorders>
          </w:tcPr>
          <w:p w14:paraId="0A10653B" w14:textId="77777777" w:rsidR="00FE750D" w:rsidRDefault="00FE750D" w:rsidP="007B49D4">
            <w:pPr>
              <w:pStyle w:val="BodyText"/>
              <w:spacing w:before="80" w:after="80"/>
            </w:pPr>
          </w:p>
        </w:tc>
      </w:tr>
      <w:tr w:rsidR="00FE750D" w14:paraId="2BCCE3C1" w14:textId="77777777" w:rsidTr="00FE750D">
        <w:tc>
          <w:tcPr>
            <w:tcW w:w="360" w:type="dxa"/>
            <w:vMerge/>
            <w:tcBorders>
              <w:top w:val="single" w:sz="4" w:space="0" w:color="auto"/>
              <w:left w:val="single" w:sz="4" w:space="0" w:color="auto"/>
              <w:bottom w:val="single" w:sz="4" w:space="0" w:color="auto"/>
              <w:right w:val="single" w:sz="4" w:space="0" w:color="auto"/>
            </w:tcBorders>
            <w:noWrap/>
          </w:tcPr>
          <w:p w14:paraId="548B89E8" w14:textId="77777777" w:rsidR="00FE750D" w:rsidRDefault="00FE750D"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08367076" w14:textId="53418693" w:rsidR="00FE750D" w:rsidRPr="00080500" w:rsidRDefault="00FE750D" w:rsidP="0098669B">
            <w:pPr>
              <w:pStyle w:val="ListParagraph"/>
              <w:numPr>
                <w:ilvl w:val="0"/>
                <w:numId w:val="22"/>
              </w:numPr>
              <w:spacing w:before="60" w:line="240" w:lineRule="auto"/>
              <w:jc w:val="left"/>
              <w:rPr>
                <w:rFonts w:cs="Arial"/>
              </w:rPr>
            </w:pPr>
            <w:r w:rsidRPr="00080500">
              <w:rPr>
                <w:rFonts w:cs="Arial"/>
              </w:rPr>
              <w:t>What is your expectation of the retrofit costs to existing thermal generators to enable CCUS or hydrogen-fired generation?</w:t>
            </w:r>
          </w:p>
        </w:tc>
        <w:tc>
          <w:tcPr>
            <w:tcW w:w="6814" w:type="dxa"/>
            <w:tcBorders>
              <w:top w:val="single" w:sz="4" w:space="0" w:color="auto"/>
              <w:left w:val="single" w:sz="4" w:space="0" w:color="auto"/>
              <w:bottom w:val="single" w:sz="4" w:space="0" w:color="auto"/>
              <w:right w:val="single" w:sz="4" w:space="0" w:color="auto"/>
            </w:tcBorders>
          </w:tcPr>
          <w:p w14:paraId="2B8516EA" w14:textId="77777777" w:rsidR="00FE750D" w:rsidRDefault="00FE750D" w:rsidP="007B49D4">
            <w:pPr>
              <w:pStyle w:val="BodyText"/>
              <w:spacing w:before="80" w:after="80"/>
            </w:pPr>
          </w:p>
        </w:tc>
      </w:tr>
      <w:tr w:rsidR="00FE750D" w14:paraId="719406BF" w14:textId="77777777" w:rsidTr="00FE750D">
        <w:tc>
          <w:tcPr>
            <w:tcW w:w="360" w:type="dxa"/>
            <w:vMerge/>
            <w:tcBorders>
              <w:top w:val="single" w:sz="4" w:space="0" w:color="auto"/>
              <w:left w:val="single" w:sz="4" w:space="0" w:color="auto"/>
              <w:bottom w:val="single" w:sz="4" w:space="0" w:color="auto"/>
              <w:right w:val="single" w:sz="4" w:space="0" w:color="auto"/>
            </w:tcBorders>
            <w:noWrap/>
          </w:tcPr>
          <w:p w14:paraId="713761A2" w14:textId="77777777" w:rsidR="00FE750D" w:rsidRDefault="00FE750D" w:rsidP="007B49D4">
            <w:pPr>
              <w:pStyle w:val="BodyText"/>
              <w:spacing w:before="120" w:after="80" w:line="220" w:lineRule="exact"/>
              <w:ind w:left="-109"/>
              <w:jc w:val="center"/>
            </w:pPr>
          </w:p>
        </w:tc>
        <w:tc>
          <w:tcPr>
            <w:tcW w:w="5850" w:type="dxa"/>
            <w:tcBorders>
              <w:top w:val="single" w:sz="4" w:space="0" w:color="auto"/>
              <w:left w:val="single" w:sz="4" w:space="0" w:color="auto"/>
              <w:bottom w:val="single" w:sz="4" w:space="0" w:color="auto"/>
              <w:right w:val="single" w:sz="4" w:space="0" w:color="auto"/>
            </w:tcBorders>
          </w:tcPr>
          <w:p w14:paraId="74A98626" w14:textId="5F361990" w:rsidR="00FE750D" w:rsidRPr="00080500" w:rsidRDefault="00FE750D" w:rsidP="0098669B">
            <w:pPr>
              <w:pStyle w:val="ListParagraph"/>
              <w:numPr>
                <w:ilvl w:val="0"/>
                <w:numId w:val="22"/>
              </w:numPr>
              <w:spacing w:before="60" w:line="240" w:lineRule="auto"/>
              <w:jc w:val="left"/>
              <w:rPr>
                <w:rFonts w:cs="Arial"/>
              </w:rPr>
            </w:pPr>
            <w:r w:rsidRPr="00080500">
              <w:rPr>
                <w:rFonts w:cs="Arial"/>
              </w:rPr>
              <w:t>Please share any additional views on technologies and specifications that are not included within the table (please include the cost and operational characteristics applicable to the net-zero generation technology in the format of the provided table).</w:t>
            </w:r>
          </w:p>
        </w:tc>
        <w:tc>
          <w:tcPr>
            <w:tcW w:w="6814" w:type="dxa"/>
            <w:tcBorders>
              <w:top w:val="single" w:sz="4" w:space="0" w:color="auto"/>
              <w:left w:val="single" w:sz="4" w:space="0" w:color="auto"/>
              <w:bottom w:val="single" w:sz="4" w:space="0" w:color="auto"/>
              <w:right w:val="single" w:sz="4" w:space="0" w:color="auto"/>
            </w:tcBorders>
          </w:tcPr>
          <w:p w14:paraId="268C5B37" w14:textId="77777777" w:rsidR="00FE750D" w:rsidRDefault="00FE750D" w:rsidP="007B49D4">
            <w:pPr>
              <w:pStyle w:val="BodyText"/>
              <w:spacing w:before="80" w:after="80"/>
            </w:pPr>
          </w:p>
        </w:tc>
      </w:tr>
      <w:tr w:rsidR="007B49D4" w14:paraId="4099A8BC" w14:textId="77777777" w:rsidTr="00FE750D">
        <w:tc>
          <w:tcPr>
            <w:tcW w:w="360" w:type="dxa"/>
            <w:tcBorders>
              <w:top w:val="single" w:sz="4" w:space="0" w:color="auto"/>
              <w:left w:val="single" w:sz="4" w:space="0" w:color="auto"/>
              <w:bottom w:val="single" w:sz="4" w:space="0" w:color="auto"/>
              <w:right w:val="single" w:sz="4" w:space="0" w:color="auto"/>
            </w:tcBorders>
            <w:noWrap/>
          </w:tcPr>
          <w:p w14:paraId="2229A10A" w14:textId="686DD2F8" w:rsidR="007B49D4" w:rsidRPr="00D263C2" w:rsidRDefault="00FE750D" w:rsidP="00D263C2">
            <w:pPr>
              <w:pStyle w:val="BodyText"/>
              <w:spacing w:before="120" w:after="80" w:line="240" w:lineRule="auto"/>
              <w:ind w:left="-115"/>
              <w:jc w:val="center"/>
              <w:rPr>
                <w:b/>
                <w:i/>
                <w:color w:val="00407A"/>
                <w:szCs w:val="20"/>
              </w:rPr>
            </w:pPr>
            <w:r w:rsidRPr="00D263C2">
              <w:rPr>
                <w:b/>
                <w:i/>
                <w:color w:val="00407A"/>
                <w:szCs w:val="20"/>
              </w:rPr>
              <w:t>7</w:t>
            </w:r>
          </w:p>
        </w:tc>
        <w:tc>
          <w:tcPr>
            <w:tcW w:w="5850" w:type="dxa"/>
            <w:tcBorders>
              <w:top w:val="single" w:sz="4" w:space="0" w:color="auto"/>
              <w:left w:val="single" w:sz="4" w:space="0" w:color="auto"/>
              <w:bottom w:val="single" w:sz="4" w:space="0" w:color="auto"/>
              <w:right w:val="single" w:sz="4" w:space="0" w:color="auto"/>
            </w:tcBorders>
          </w:tcPr>
          <w:p w14:paraId="63977189" w14:textId="243013C6" w:rsidR="00FE750D" w:rsidRPr="00D263C2" w:rsidRDefault="00FE750D" w:rsidP="0013417C">
            <w:pPr>
              <w:pStyle w:val="Heading3"/>
            </w:pPr>
            <w:r w:rsidRPr="00D263C2">
              <w:t>Other</w:t>
            </w:r>
          </w:p>
          <w:p w14:paraId="3213B44E" w14:textId="28FEE8D7" w:rsidR="007B49D4" w:rsidRDefault="00FE750D" w:rsidP="0098669B">
            <w:pPr>
              <w:pStyle w:val="BodyText"/>
              <w:spacing w:after="120" w:line="240" w:lineRule="auto"/>
            </w:pPr>
            <w:r w:rsidRPr="00FE750D">
              <w:t>Please provide any additional information that you would like to share, which may contribute to the net-zero analysis development.</w:t>
            </w:r>
          </w:p>
        </w:tc>
        <w:tc>
          <w:tcPr>
            <w:tcW w:w="6814" w:type="dxa"/>
            <w:tcBorders>
              <w:top w:val="single" w:sz="4" w:space="0" w:color="auto"/>
              <w:left w:val="single" w:sz="4" w:space="0" w:color="auto"/>
              <w:bottom w:val="single" w:sz="4" w:space="0" w:color="auto"/>
              <w:right w:val="single" w:sz="4" w:space="0" w:color="auto"/>
            </w:tcBorders>
          </w:tcPr>
          <w:p w14:paraId="38F8EC9A" w14:textId="72BAF88D" w:rsidR="007B49D4" w:rsidRDefault="007B49D4" w:rsidP="007B49D4">
            <w:pPr>
              <w:pStyle w:val="BodyText"/>
              <w:spacing w:before="80" w:after="80"/>
            </w:pPr>
          </w:p>
        </w:tc>
      </w:tr>
    </w:tbl>
    <w:p w14:paraId="4922BA84" w14:textId="34269D1B" w:rsidR="006B7449" w:rsidRDefault="007851FE" w:rsidP="00D36446">
      <w:pPr>
        <w:pStyle w:val="BodyText"/>
        <w:spacing w:before="240"/>
      </w:pPr>
      <w:r>
        <w:t>Thank you for you</w:t>
      </w:r>
      <w:r w:rsidR="002557E8">
        <w:t>r</w:t>
      </w:r>
      <w:r>
        <w:t xml:space="preserve"> input. Please email your completed matrix to: </w:t>
      </w:r>
      <w:hyperlink r:id="rId15" w:history="1">
        <w:r w:rsidR="00E828B6" w:rsidRPr="00643446">
          <w:rPr>
            <w:rStyle w:val="Hyperlink"/>
          </w:rPr>
          <w:t>forecast@aeso.ca</w:t>
        </w:r>
      </w:hyperlink>
      <w:r w:rsidR="00C34295">
        <w:t xml:space="preserve"> </w:t>
      </w:r>
      <w:r>
        <w:t xml:space="preserve"> </w:t>
      </w:r>
    </w:p>
    <w:sectPr w:rsidR="006B7449" w:rsidSect="00A60E76">
      <w:headerReference w:type="default" r:id="rId16"/>
      <w:footerReference w:type="default" r:id="rId17"/>
      <w:headerReference w:type="first" r:id="rId18"/>
      <w:footerReference w:type="first" r:id="rId19"/>
      <w:pgSz w:w="15840" w:h="12240" w:orient="landscape" w:code="1"/>
      <w:pgMar w:top="1886" w:right="1526" w:bottom="1152" w:left="1296" w:header="446"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1273" w14:textId="77777777" w:rsidR="00C22C95" w:rsidRDefault="00C22C95" w:rsidP="00477A36">
      <w:pPr>
        <w:spacing w:after="0" w:line="240" w:lineRule="auto"/>
      </w:pPr>
      <w:r>
        <w:separator/>
      </w:r>
    </w:p>
    <w:p w14:paraId="2716AAC8" w14:textId="77777777" w:rsidR="00C22C95" w:rsidRDefault="00C22C95"/>
  </w:endnote>
  <w:endnote w:type="continuationSeparator" w:id="0">
    <w:p w14:paraId="164D27A4" w14:textId="77777777" w:rsidR="00C22C95" w:rsidRDefault="00C22C95" w:rsidP="00477A36">
      <w:pPr>
        <w:spacing w:after="0" w:line="240" w:lineRule="auto"/>
      </w:pPr>
      <w:r>
        <w:continuationSeparator/>
      </w:r>
    </w:p>
    <w:p w14:paraId="28F677E6" w14:textId="77777777" w:rsidR="00C22C95" w:rsidRDefault="00C22C95"/>
  </w:endnote>
  <w:endnote w:type="continuationNotice" w:id="1">
    <w:p w14:paraId="696EB356" w14:textId="77777777" w:rsidR="00C22C95" w:rsidRDefault="00C22C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590" w:type="dxa"/>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5862"/>
      <w:gridCol w:w="1465"/>
      <w:gridCol w:w="6263"/>
    </w:tblGrid>
    <w:tr w:rsidR="00896EC8" w:rsidRPr="0074440B" w14:paraId="441046A9" w14:textId="77777777" w:rsidTr="009D7114">
      <w:trPr>
        <w:trHeight w:val="360"/>
      </w:trPr>
      <w:sdt>
        <w:sdtPr>
          <w:rPr>
            <w:rStyle w:val="FooterChar"/>
            <w:sz w:val="16"/>
            <w:szCs w:val="16"/>
          </w:rPr>
          <w:alias w:val="Footer"/>
          <w:tag w:val="Footer"/>
          <w:id w:val="3951560"/>
          <w:dataBinding w:xpath="/ns0:CC_Map_Root[1]/ns0:Footer[1]" w:storeItemID="{320D493F-7BDF-4716-B21A-1C97993CF725}"/>
          <w:text/>
        </w:sdtPr>
        <w:sdtEndPr>
          <w:rPr>
            <w:rStyle w:val="FooterChar"/>
          </w:rPr>
        </w:sdtEndPr>
        <w:sdtContent>
          <w:tc>
            <w:tcPr>
              <w:tcW w:w="5862" w:type="dxa"/>
              <w:shd w:val="clear" w:color="auto" w:fill="auto"/>
              <w:vAlign w:val="bottom"/>
            </w:tcPr>
            <w:p w14:paraId="1AE2B646" w14:textId="05BA33A4" w:rsidR="00896EC8" w:rsidRPr="00EA167B" w:rsidRDefault="00231D96" w:rsidP="0092151C">
              <w:pPr>
                <w:pStyle w:val="Footer"/>
                <w:jc w:val="left"/>
                <w:rPr>
                  <w:rStyle w:val="FooterChar"/>
                  <w:sz w:val="16"/>
                  <w:szCs w:val="16"/>
                </w:rPr>
              </w:pPr>
              <w:r>
                <w:rPr>
                  <w:rStyle w:val="FooterChar"/>
                  <w:sz w:val="16"/>
                  <w:szCs w:val="16"/>
                </w:rPr>
                <w:t xml:space="preserve">Issued for Stakeholder Comment: </w:t>
              </w:r>
              <w:r w:rsidR="00E828B6">
                <w:rPr>
                  <w:rStyle w:val="FooterChar"/>
                  <w:sz w:val="16"/>
                  <w:szCs w:val="16"/>
                </w:rPr>
                <w:t>Dec. 16</w:t>
              </w:r>
              <w:r>
                <w:rPr>
                  <w:rStyle w:val="FooterChar"/>
                  <w:sz w:val="16"/>
                  <w:szCs w:val="16"/>
                </w:rPr>
                <w:t>, 2021</w:t>
              </w:r>
            </w:p>
          </w:tc>
        </w:sdtContent>
      </w:sdt>
      <w:tc>
        <w:tcPr>
          <w:tcW w:w="1465" w:type="dxa"/>
          <w:shd w:val="clear" w:color="auto" w:fill="auto"/>
          <w:vAlign w:val="bottom"/>
        </w:tcPr>
        <w:p w14:paraId="06775B7F" w14:textId="77777777" w:rsidR="00896EC8" w:rsidRPr="00EA167B" w:rsidRDefault="00896EC8" w:rsidP="0092151C">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F825B6">
            <w:rPr>
              <w:rStyle w:val="FooterChar"/>
              <w:noProof/>
              <w:sz w:val="16"/>
              <w:szCs w:val="16"/>
            </w:rPr>
            <w:t>2</w:t>
          </w:r>
          <w:r w:rsidRPr="00EA167B">
            <w:rPr>
              <w:rStyle w:val="FooterChar"/>
              <w:sz w:val="16"/>
              <w:szCs w:val="16"/>
            </w:rPr>
            <w:fldChar w:fldCharType="end"/>
          </w:r>
        </w:p>
      </w:tc>
      <w:tc>
        <w:tcPr>
          <w:tcW w:w="6263" w:type="dxa"/>
          <w:shd w:val="clear" w:color="auto" w:fill="auto"/>
          <w:vAlign w:val="bottom"/>
        </w:tcPr>
        <w:p w14:paraId="2BFDD63A" w14:textId="1F00683D" w:rsidR="00896EC8" w:rsidRPr="00E526F6" w:rsidRDefault="009D157D" w:rsidP="0092151C">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2101101092"/>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listItem w:displayText="AESO Protected CIP" w:value="AESO Protected CIP"/>
              </w:dropDownList>
            </w:sdtPr>
            <w:sdtEndPr>
              <w:rPr>
                <w:b/>
                <w:color w:val="FFFFFF" w:themeColor="background1"/>
                <w:sz w:val="20"/>
              </w:rPr>
            </w:sdtEndPr>
            <w:sdtContent>
              <w:r w:rsidR="007D60BC">
                <w:rPr>
                  <w:color w:val="808080" w:themeColor="background1" w:themeShade="80"/>
                  <w:sz w:val="16"/>
                </w:rPr>
                <w:t>Public</w:t>
              </w:r>
            </w:sdtContent>
          </w:sdt>
        </w:p>
      </w:tc>
    </w:tr>
  </w:tbl>
  <w:p w14:paraId="3F73A832" w14:textId="77777777" w:rsidR="00896EC8" w:rsidRPr="00896EC8" w:rsidRDefault="00896EC8" w:rsidP="00896EC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760"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120"/>
      <w:gridCol w:w="2340"/>
      <w:gridCol w:w="6300"/>
    </w:tblGrid>
    <w:tr w:rsidR="00292FAC" w:rsidRPr="0074440B" w14:paraId="22C17B31" w14:textId="77777777" w:rsidTr="0015618E">
      <w:trPr>
        <w:trHeight w:val="187"/>
      </w:trPr>
      <w:sdt>
        <w:sdtPr>
          <w:rPr>
            <w:rStyle w:val="FooterChar"/>
            <w:sz w:val="16"/>
            <w:szCs w:val="16"/>
          </w:rPr>
          <w:alias w:val="Footer"/>
          <w:tag w:val="Footer"/>
          <w:id w:val="-63114356"/>
          <w:dataBinding w:xpath="/ns0:CC_Map_Root[1]/ns0:Footer[1]" w:storeItemID="{320D493F-7BDF-4716-B21A-1C97993CF725}"/>
          <w:text/>
        </w:sdtPr>
        <w:sdtEndPr>
          <w:rPr>
            <w:rStyle w:val="FooterChar"/>
          </w:rPr>
        </w:sdtEndPr>
        <w:sdtContent>
          <w:tc>
            <w:tcPr>
              <w:tcW w:w="6120" w:type="dxa"/>
              <w:shd w:val="clear" w:color="auto" w:fill="auto"/>
            </w:tcPr>
            <w:p w14:paraId="135D5043" w14:textId="68E538C7" w:rsidR="00292FAC" w:rsidRPr="00EA167B" w:rsidRDefault="00E828B6" w:rsidP="00F825B6">
              <w:pPr>
                <w:pStyle w:val="Footer"/>
                <w:spacing w:before="240"/>
                <w:jc w:val="left"/>
                <w:rPr>
                  <w:rStyle w:val="FooterChar"/>
                  <w:sz w:val="16"/>
                  <w:szCs w:val="16"/>
                </w:rPr>
              </w:pPr>
              <w:r>
                <w:rPr>
                  <w:rStyle w:val="FooterChar"/>
                  <w:sz w:val="16"/>
                  <w:szCs w:val="16"/>
                </w:rPr>
                <w:t>Issued for Stakeholder Comment: Dec. 16, 2021</w:t>
              </w:r>
            </w:p>
          </w:tc>
        </w:sdtContent>
      </w:sdt>
      <w:tc>
        <w:tcPr>
          <w:tcW w:w="2340" w:type="dxa"/>
          <w:shd w:val="clear" w:color="auto" w:fill="auto"/>
        </w:tcPr>
        <w:p w14:paraId="7DDCCF16" w14:textId="77777777" w:rsidR="00292FAC" w:rsidRPr="00EA167B" w:rsidRDefault="00292FAC" w:rsidP="00F825B6">
          <w:pPr>
            <w:pStyle w:val="Footer"/>
            <w:spacing w:before="240"/>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F825B6">
            <w:rPr>
              <w:rStyle w:val="FooterChar"/>
              <w:noProof/>
              <w:sz w:val="16"/>
              <w:szCs w:val="16"/>
            </w:rPr>
            <w:t>1</w:t>
          </w:r>
          <w:r w:rsidRPr="00EA167B">
            <w:rPr>
              <w:rStyle w:val="FooterChar"/>
              <w:sz w:val="16"/>
              <w:szCs w:val="16"/>
            </w:rPr>
            <w:fldChar w:fldCharType="end"/>
          </w:r>
        </w:p>
      </w:tc>
      <w:tc>
        <w:tcPr>
          <w:tcW w:w="6300" w:type="dxa"/>
          <w:shd w:val="clear" w:color="auto" w:fill="auto"/>
        </w:tcPr>
        <w:p w14:paraId="1B017A67" w14:textId="752474F1" w:rsidR="00292FAC" w:rsidRPr="0074440B" w:rsidRDefault="009D157D" w:rsidP="00F825B6">
          <w:pPr>
            <w:pStyle w:val="Footer"/>
            <w:spacing w:before="240"/>
            <w:jc w:val="right"/>
            <w:rPr>
              <w:color w:val="FFFFFF"/>
              <w:sz w:val="12"/>
              <w:szCs w:val="12"/>
              <w:lang w:eastAsia="en-CA"/>
            </w:rPr>
          </w:pPr>
          <w:sdt>
            <w:sdtPr>
              <w:rPr>
                <w:color w:val="808080" w:themeColor="background1" w:themeShade="80"/>
                <w:sz w:val="16"/>
              </w:rPr>
              <w:alias w:val="AESO Confidentiality Classifications"/>
              <w:tag w:val="AESO_Confidentiality_Classifications"/>
              <w:id w:val="-1110740935"/>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listItem w:displayText="AESO Protected CIP" w:value="AESO Protected CIP"/>
              </w:dropDownList>
            </w:sdtPr>
            <w:sdtEndPr>
              <w:rPr>
                <w:b/>
                <w:color w:val="FFFFFF" w:themeColor="background1"/>
                <w:sz w:val="20"/>
              </w:rPr>
            </w:sdtEndPr>
            <w:sdtContent>
              <w:r w:rsidR="007D60BC">
                <w:rPr>
                  <w:color w:val="808080" w:themeColor="background1" w:themeShade="80"/>
                  <w:sz w:val="16"/>
                </w:rPr>
                <w:t>Public</w:t>
              </w:r>
            </w:sdtContent>
          </w:sdt>
        </w:p>
      </w:tc>
    </w:tr>
  </w:tbl>
  <w:p w14:paraId="739FBBFF" w14:textId="77777777" w:rsidR="00B9664B" w:rsidRPr="0074440B" w:rsidRDefault="00B12EC1" w:rsidP="00B12EC1">
    <w:pPr>
      <w:tabs>
        <w:tab w:val="clear" w:pos="720"/>
        <w:tab w:val="center" w:pos="4680"/>
        <w:tab w:val="right" w:pos="9360"/>
      </w:tabs>
      <w:spacing w:before="0" w:after="0" w:line="240" w:lineRule="auto"/>
      <w:ind w:left="-1260" w:right="-1800"/>
      <w:rPr>
        <w:color w:val="FFFFFF"/>
        <w:sz w:val="12"/>
        <w:szCs w:val="12"/>
        <w:lang w:eastAsia="en-CA"/>
      </w:rPr>
    </w:pPr>
    <w:r>
      <w:rPr>
        <w:noProof/>
        <w:color w:val="FFFFFF"/>
        <w:sz w:val="12"/>
        <w:szCs w:val="12"/>
      </w:rPr>
      <w:drawing>
        <wp:inline distT="0" distB="0" distL="0" distR="0" wp14:anchorId="29D52A5F" wp14:editId="71C73894">
          <wp:extent cx="10058400" cy="6858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Footer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685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99BCE" w14:textId="77777777" w:rsidR="00C22C95" w:rsidRDefault="00C22C95" w:rsidP="00477A36">
      <w:pPr>
        <w:spacing w:after="0" w:line="240" w:lineRule="auto"/>
      </w:pPr>
      <w:r>
        <w:separator/>
      </w:r>
    </w:p>
    <w:p w14:paraId="3C9AECA0" w14:textId="77777777" w:rsidR="00C22C95" w:rsidRDefault="00C22C95"/>
  </w:footnote>
  <w:footnote w:type="continuationSeparator" w:id="0">
    <w:p w14:paraId="79FFFA2C" w14:textId="77777777" w:rsidR="00C22C95" w:rsidRDefault="00C22C95" w:rsidP="00477A36">
      <w:pPr>
        <w:spacing w:after="0" w:line="240" w:lineRule="auto"/>
      </w:pPr>
      <w:r>
        <w:continuationSeparator/>
      </w:r>
    </w:p>
    <w:p w14:paraId="6C2D70C7" w14:textId="77777777" w:rsidR="00C22C95" w:rsidRDefault="00C22C95"/>
  </w:footnote>
  <w:footnote w:type="continuationNotice" w:id="1">
    <w:p w14:paraId="5EE9A2E2" w14:textId="77777777" w:rsidR="00C22C95" w:rsidRDefault="00C22C95">
      <w:pPr>
        <w:spacing w:before="0" w:after="0" w:line="240" w:lineRule="auto"/>
      </w:pPr>
    </w:p>
  </w:footnote>
  <w:footnote w:id="2">
    <w:p w14:paraId="00D3F6E5" w14:textId="77777777" w:rsidR="002F35F3" w:rsidRPr="0098669B" w:rsidRDefault="002F35F3" w:rsidP="00A60E76">
      <w:pPr>
        <w:pStyle w:val="FootnoteText"/>
        <w:spacing w:before="0" w:after="0" w:line="240" w:lineRule="auto"/>
        <w:rPr>
          <w:sz w:val="16"/>
          <w:szCs w:val="24"/>
        </w:rPr>
      </w:pPr>
      <w:r w:rsidRPr="0098669B">
        <w:rPr>
          <w:rStyle w:val="FootnoteReference"/>
          <w:sz w:val="16"/>
          <w:szCs w:val="24"/>
        </w:rPr>
        <w:footnoteRef/>
      </w:r>
      <w:r w:rsidRPr="0098669B">
        <w:rPr>
          <w:sz w:val="16"/>
          <w:szCs w:val="24"/>
        </w:rPr>
        <w:t xml:space="preserve"> </w:t>
      </w:r>
      <w:hyperlink r:id="rId1" w:history="1">
        <w:r w:rsidRPr="0098669B">
          <w:rPr>
            <w:rStyle w:val="Hyperlink"/>
            <w:sz w:val="16"/>
            <w:szCs w:val="24"/>
          </w:rPr>
          <w:t>https://www.conferenceboard.ca/temp/dece8ebd-ff72-4d8d-9813-c85a9dd47c61/11357_ip_provincial-outlook_nov2021.pdf</w:t>
        </w:r>
      </w:hyperlink>
      <w:r w:rsidRPr="0098669B">
        <w:rPr>
          <w:sz w:val="16"/>
          <w:szCs w:val="24"/>
        </w:rPr>
        <w:t xml:space="preserve"> </w:t>
      </w:r>
    </w:p>
  </w:footnote>
  <w:footnote w:id="3">
    <w:p w14:paraId="57F12F90" w14:textId="77777777" w:rsidR="002F35F3" w:rsidRPr="0098669B" w:rsidRDefault="002F35F3" w:rsidP="002F35F3">
      <w:pPr>
        <w:pStyle w:val="FootnoteText"/>
        <w:rPr>
          <w:sz w:val="16"/>
          <w:szCs w:val="16"/>
        </w:rPr>
      </w:pPr>
      <w:r w:rsidRPr="0098669B">
        <w:rPr>
          <w:rStyle w:val="FootnoteReference"/>
          <w:sz w:val="16"/>
          <w:szCs w:val="16"/>
        </w:rPr>
        <w:footnoteRef/>
      </w:r>
      <w:r w:rsidRPr="0098669B">
        <w:rPr>
          <w:sz w:val="16"/>
          <w:szCs w:val="16"/>
        </w:rPr>
        <w:t xml:space="preserve"> </w:t>
      </w:r>
      <w:hyperlink r:id="rId2" w:history="1">
        <w:r w:rsidRPr="0098669B">
          <w:rPr>
            <w:rStyle w:val="Hyperlink"/>
            <w:sz w:val="16"/>
            <w:szCs w:val="16"/>
          </w:rPr>
          <w:t>https://ihsmarkit.com/research-analysis/canadian-oil-sands-running-above-prepandemic-highs.html</w:t>
        </w:r>
      </w:hyperlink>
      <w:r w:rsidRPr="0098669B">
        <w:rPr>
          <w:sz w:val="16"/>
          <w:szCs w:val="16"/>
        </w:rPr>
        <w:t xml:space="preserve"> </w:t>
      </w:r>
    </w:p>
  </w:footnote>
  <w:footnote w:id="4">
    <w:p w14:paraId="774077BB" w14:textId="4F1355B1" w:rsidR="00FE750D" w:rsidRPr="0098669B" w:rsidRDefault="00FE750D" w:rsidP="00080500">
      <w:pPr>
        <w:pStyle w:val="FootnoteText"/>
        <w:rPr>
          <w:sz w:val="16"/>
          <w:szCs w:val="24"/>
        </w:rPr>
      </w:pPr>
      <w:r w:rsidRPr="0098669B">
        <w:rPr>
          <w:rStyle w:val="FootnoteReference"/>
          <w:sz w:val="16"/>
          <w:szCs w:val="24"/>
        </w:rPr>
        <w:footnoteRef/>
      </w:r>
      <w:r w:rsidRPr="0098669B">
        <w:rPr>
          <w:sz w:val="16"/>
          <w:szCs w:val="24"/>
        </w:rPr>
        <w:t xml:space="preserve"> </w:t>
      </w:r>
      <w:hyperlink r:id="rId3" w:history="1">
        <w:r w:rsidR="0098669B" w:rsidRPr="00643446">
          <w:rPr>
            <w:rStyle w:val="Hyperlink"/>
            <w:sz w:val="16"/>
            <w:szCs w:val="24"/>
          </w:rPr>
          <w:t>https://www.eia.gov/analysis/studies/powerplants/capitalcost/</w:t>
        </w:r>
      </w:hyperlink>
      <w:r w:rsidR="0098669B">
        <w:rPr>
          <w:sz w:val="16"/>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28EB" w14:textId="77777777" w:rsidR="00E23B14" w:rsidRPr="0074440B" w:rsidRDefault="00786563">
    <w:pPr>
      <w:pStyle w:val="Header"/>
      <w:rPr>
        <w:color w:val="FFFFFF"/>
      </w:rPr>
    </w:pPr>
    <w:r>
      <w:rPr>
        <w:noProof/>
        <w:color w:val="FFFFFF"/>
      </w:rPr>
      <w:drawing>
        <wp:anchor distT="0" distB="0" distL="114300" distR="114300" simplePos="0" relativeHeight="251658240" behindDoc="1" locked="1" layoutInCell="0" allowOverlap="1" wp14:anchorId="0A366B86" wp14:editId="64C7B70A">
          <wp:simplePos x="0" y="0"/>
          <wp:positionH relativeFrom="page">
            <wp:align>right</wp:align>
          </wp:positionH>
          <wp:positionV relativeFrom="page">
            <wp:align>top</wp:align>
          </wp:positionV>
          <wp:extent cx="7682589" cy="1197864"/>
          <wp:effectExtent l="0" t="0" r="0" b="2540"/>
          <wp:wrapNone/>
          <wp:docPr id="8" name="Picture 8"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589" cy="11978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0" w:type="dxa"/>
      <w:tblLook w:val="04A0" w:firstRow="1" w:lastRow="0" w:firstColumn="1" w:lastColumn="0" w:noHBand="0" w:noVBand="1"/>
    </w:tblPr>
    <w:tblGrid>
      <w:gridCol w:w="11538"/>
    </w:tblGrid>
    <w:tr w:rsidR="005830EC" w14:paraId="61BC56D9" w14:textId="77777777" w:rsidTr="00A17B71">
      <w:trPr>
        <w:trHeight w:val="902"/>
      </w:trPr>
      <w:tc>
        <w:tcPr>
          <w:tcW w:w="11538" w:type="dxa"/>
          <w:shd w:val="clear" w:color="auto" w:fill="auto"/>
          <w:vAlign w:val="bottom"/>
        </w:tcPr>
        <w:p w14:paraId="6D59C7E1" w14:textId="1DD1951E" w:rsidR="005830EC" w:rsidRPr="00222682" w:rsidRDefault="00222682" w:rsidP="0036279F">
          <w:pPr>
            <w:pStyle w:val="Title"/>
            <w:spacing w:after="0"/>
            <w:rPr>
              <w:b/>
              <w:color w:val="1F497D" w:themeColor="text2"/>
              <w:sz w:val="32"/>
              <w:szCs w:val="44"/>
            </w:rPr>
          </w:pPr>
          <w:r w:rsidRPr="00222682">
            <w:rPr>
              <w:b/>
              <w:color w:val="1F497D" w:themeColor="text2"/>
              <w:sz w:val="32"/>
              <w:szCs w:val="44"/>
            </w:rPr>
            <w:t xml:space="preserve">Stakeholder Comment Matrix – </w:t>
          </w:r>
          <w:r w:rsidR="004518F3">
            <w:rPr>
              <w:b/>
              <w:color w:val="1F497D" w:themeColor="text2"/>
              <w:sz w:val="32"/>
              <w:szCs w:val="44"/>
            </w:rPr>
            <w:t>Dec. 16</w:t>
          </w:r>
          <w:r w:rsidR="00413832">
            <w:rPr>
              <w:b/>
              <w:color w:val="1F497D" w:themeColor="text2"/>
              <w:sz w:val="32"/>
              <w:szCs w:val="44"/>
            </w:rPr>
            <w:t>, 2021</w:t>
          </w:r>
        </w:p>
        <w:p w14:paraId="048E4A12" w14:textId="6A095239" w:rsidR="00222682" w:rsidRPr="00222682" w:rsidRDefault="004518F3" w:rsidP="00222682">
          <w:pPr>
            <w:rPr>
              <w:b/>
              <w:bCs/>
              <w:sz w:val="22"/>
              <w:szCs w:val="22"/>
            </w:rPr>
          </w:pPr>
          <w:r>
            <w:rPr>
              <w:b/>
              <w:bCs/>
              <w:color w:val="1F497D" w:themeColor="text2"/>
              <w:sz w:val="22"/>
              <w:szCs w:val="22"/>
            </w:rPr>
            <w:t>Net-Zero Emissions Pathways | Analysis Scope and Inputs</w:t>
          </w:r>
        </w:p>
      </w:tc>
    </w:tr>
    <w:tr w:rsidR="005830EC" w:rsidRPr="00E43580" w14:paraId="2D45F25E" w14:textId="77777777" w:rsidTr="00A17B71">
      <w:trPr>
        <w:trHeight w:val="81"/>
      </w:trPr>
      <w:tc>
        <w:tcPr>
          <w:tcW w:w="11538" w:type="dxa"/>
          <w:shd w:val="clear" w:color="auto" w:fill="auto"/>
          <w:vAlign w:val="bottom"/>
        </w:tcPr>
        <w:p w14:paraId="115CB986" w14:textId="77777777" w:rsidR="005830EC" w:rsidRPr="00E43580" w:rsidRDefault="005830EC" w:rsidP="00B931F5">
          <w:pPr>
            <w:spacing w:before="0" w:after="0" w:line="240" w:lineRule="auto"/>
            <w:jc w:val="left"/>
            <w:rPr>
              <w:b/>
              <w:sz w:val="18"/>
              <w:szCs w:val="16"/>
            </w:rPr>
          </w:pPr>
        </w:p>
      </w:tc>
    </w:tr>
  </w:tbl>
  <w:p w14:paraId="6F6FCBD3" w14:textId="4903C1C5" w:rsidR="00B9664B" w:rsidRPr="00E43580" w:rsidRDefault="00A17B71" w:rsidP="00222682">
    <w:pPr>
      <w:tabs>
        <w:tab w:val="clear" w:pos="720"/>
        <w:tab w:val="left" w:pos="2340"/>
      </w:tabs>
      <w:spacing w:before="0" w:after="0" w:line="240" w:lineRule="auto"/>
      <w:rPr>
        <w:color w:val="FFFFFF"/>
        <w:sz w:val="14"/>
        <w:szCs w:val="12"/>
      </w:rPr>
    </w:pPr>
    <w:r w:rsidRPr="0036279F">
      <w:rPr>
        <w:b/>
        <w:noProof/>
        <w:sz w:val="36"/>
      </w:rPr>
      <w:drawing>
        <wp:anchor distT="0" distB="0" distL="114300" distR="114300" simplePos="0" relativeHeight="251658241" behindDoc="1" locked="0" layoutInCell="1" allowOverlap="1" wp14:anchorId="5CC5DFC9" wp14:editId="2E27041A">
          <wp:simplePos x="0" y="0"/>
          <wp:positionH relativeFrom="page">
            <wp:posOffset>15875</wp:posOffset>
          </wp:positionH>
          <wp:positionV relativeFrom="page">
            <wp:posOffset>-19050</wp:posOffset>
          </wp:positionV>
          <wp:extent cx="10058400" cy="12553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E:\public\ScoMic\Kennedy Ink\~Clients\2011\Shirley Phillips\AESO\~New Templates\august\Landscape Banners\11-inch Bann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1255395"/>
                  </a:xfrm>
                  <a:prstGeom prst="rect">
                    <a:avLst/>
                  </a:prstGeom>
                  <a:noFill/>
                </pic:spPr>
              </pic:pic>
            </a:graphicData>
          </a:graphic>
          <wp14:sizeRelH relativeFrom="margin">
            <wp14:pctWidth>0</wp14:pctWidth>
          </wp14:sizeRelH>
          <wp14:sizeRelV relativeFrom="margin">
            <wp14:pctHeight>0</wp14:pctHeight>
          </wp14:sizeRelV>
        </wp:anchor>
      </w:drawing>
    </w:r>
    <w:r w:rsidR="00073930" w:rsidRPr="00E43580">
      <w:rPr>
        <w:color w:val="FFFFFF"/>
        <w:sz w:val="14"/>
        <w:szCs w:val="12"/>
      </w:rPr>
      <w:fldChar w:fldCharType="begin"/>
    </w:r>
    <w:r w:rsidR="00073930" w:rsidRPr="00E43580">
      <w:rPr>
        <w:color w:val="FFFFFF"/>
        <w:sz w:val="14"/>
        <w:szCs w:val="12"/>
      </w:rPr>
      <w:instrText xml:space="preserve"> COMMENTS  \* Caps  \* MERGEFORMAT </w:instrText>
    </w:r>
    <w:r w:rsidR="00073930" w:rsidRPr="00E43580">
      <w:rPr>
        <w:color w:val="FFFFFF"/>
        <w:sz w:val="14"/>
        <w:szCs w:val="12"/>
      </w:rPr>
      <w:fldChar w:fldCharType="end"/>
    </w:r>
    <w:r w:rsidR="00222682">
      <w:rPr>
        <w:color w:val="FFFFFF"/>
        <w:sz w:val="14"/>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83896"/>
    <w:multiLevelType w:val="hybridMultilevel"/>
    <w:tmpl w:val="2B1C26B2"/>
    <w:lvl w:ilvl="0" w:tplc="4698C81C">
      <w:start w:val="1"/>
      <w:numFmt w:val="low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15:restartNumberingAfterBreak="0">
    <w:nsid w:val="0C89289C"/>
    <w:multiLevelType w:val="hybridMultilevel"/>
    <w:tmpl w:val="18FC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F50B3"/>
    <w:multiLevelType w:val="hybridMultilevel"/>
    <w:tmpl w:val="2FD0BB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A7DB5"/>
    <w:multiLevelType w:val="hybridMultilevel"/>
    <w:tmpl w:val="C2BAE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02462"/>
    <w:multiLevelType w:val="hybridMultilevel"/>
    <w:tmpl w:val="FB56AA72"/>
    <w:lvl w:ilvl="0" w:tplc="04090017">
      <w:start w:val="1"/>
      <w:numFmt w:val="lowerLetter"/>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299A2B4E"/>
    <w:multiLevelType w:val="hybridMultilevel"/>
    <w:tmpl w:val="F014D73E"/>
    <w:lvl w:ilvl="0" w:tplc="2770589A">
      <w:start w:val="1"/>
      <w:numFmt w:val="bullet"/>
      <w:lvlText w:val=""/>
      <w:lvlJc w:val="left"/>
      <w:pPr>
        <w:ind w:left="720" w:hanging="360"/>
      </w:pPr>
      <w:rPr>
        <w:rFonts w:ascii="Symbol" w:hAnsi="Symbol" w:hint="default"/>
      </w:rPr>
    </w:lvl>
    <w:lvl w:ilvl="1" w:tplc="86EC9A04">
      <w:start w:val="1"/>
      <w:numFmt w:val="bullet"/>
      <w:lvlText w:val="-"/>
      <w:lvlJc w:val="left"/>
      <w:pPr>
        <w:ind w:left="1440" w:hanging="360"/>
      </w:pPr>
      <w:rPr>
        <w:rFonts w:ascii="Calibri" w:hAnsi="Calibri" w:hint="default"/>
      </w:rPr>
    </w:lvl>
    <w:lvl w:ilvl="2" w:tplc="1834D42E">
      <w:start w:val="1"/>
      <w:numFmt w:val="bullet"/>
      <w:lvlText w:val=""/>
      <w:lvlJc w:val="left"/>
      <w:pPr>
        <w:ind w:left="2160" w:hanging="360"/>
      </w:pPr>
      <w:rPr>
        <w:rFonts w:ascii="Wingdings" w:hAnsi="Wingdings" w:hint="default"/>
      </w:rPr>
    </w:lvl>
    <w:lvl w:ilvl="3" w:tplc="9A7C12D8">
      <w:start w:val="1"/>
      <w:numFmt w:val="bullet"/>
      <w:lvlText w:val=""/>
      <w:lvlJc w:val="left"/>
      <w:pPr>
        <w:ind w:left="2880" w:hanging="360"/>
      </w:pPr>
      <w:rPr>
        <w:rFonts w:ascii="Symbol" w:hAnsi="Symbol" w:hint="default"/>
      </w:rPr>
    </w:lvl>
    <w:lvl w:ilvl="4" w:tplc="49163DDA">
      <w:start w:val="1"/>
      <w:numFmt w:val="bullet"/>
      <w:lvlText w:val="o"/>
      <w:lvlJc w:val="left"/>
      <w:pPr>
        <w:ind w:left="3600" w:hanging="360"/>
      </w:pPr>
      <w:rPr>
        <w:rFonts w:ascii="Courier New" w:hAnsi="Courier New" w:hint="default"/>
      </w:rPr>
    </w:lvl>
    <w:lvl w:ilvl="5" w:tplc="3B5C8250">
      <w:start w:val="1"/>
      <w:numFmt w:val="bullet"/>
      <w:lvlText w:val=""/>
      <w:lvlJc w:val="left"/>
      <w:pPr>
        <w:ind w:left="4320" w:hanging="360"/>
      </w:pPr>
      <w:rPr>
        <w:rFonts w:ascii="Wingdings" w:hAnsi="Wingdings" w:hint="default"/>
      </w:rPr>
    </w:lvl>
    <w:lvl w:ilvl="6" w:tplc="A9EC5C8E">
      <w:start w:val="1"/>
      <w:numFmt w:val="bullet"/>
      <w:lvlText w:val=""/>
      <w:lvlJc w:val="left"/>
      <w:pPr>
        <w:ind w:left="5040" w:hanging="360"/>
      </w:pPr>
      <w:rPr>
        <w:rFonts w:ascii="Symbol" w:hAnsi="Symbol" w:hint="default"/>
      </w:rPr>
    </w:lvl>
    <w:lvl w:ilvl="7" w:tplc="30F48F60">
      <w:start w:val="1"/>
      <w:numFmt w:val="bullet"/>
      <w:lvlText w:val="o"/>
      <w:lvlJc w:val="left"/>
      <w:pPr>
        <w:ind w:left="5760" w:hanging="360"/>
      </w:pPr>
      <w:rPr>
        <w:rFonts w:ascii="Courier New" w:hAnsi="Courier New" w:hint="default"/>
      </w:rPr>
    </w:lvl>
    <w:lvl w:ilvl="8" w:tplc="FC56FEF8">
      <w:start w:val="1"/>
      <w:numFmt w:val="bullet"/>
      <w:lvlText w:val=""/>
      <w:lvlJc w:val="left"/>
      <w:pPr>
        <w:ind w:left="6480" w:hanging="360"/>
      </w:pPr>
      <w:rPr>
        <w:rFonts w:ascii="Wingdings" w:hAnsi="Wingdings" w:hint="default"/>
      </w:rPr>
    </w:lvl>
  </w:abstractNum>
  <w:abstractNum w:abstractNumId="16" w15:restartNumberingAfterBreak="0">
    <w:nsid w:val="351054BE"/>
    <w:multiLevelType w:val="hybridMultilevel"/>
    <w:tmpl w:val="05784FCE"/>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8501A"/>
    <w:multiLevelType w:val="hybridMultilevel"/>
    <w:tmpl w:val="77C0A37C"/>
    <w:lvl w:ilvl="0" w:tplc="87F42BE0">
      <w:start w:val="1"/>
      <w:numFmt w:val="lowerLetter"/>
      <w:lvlText w:val="%1)"/>
      <w:lvlJc w:val="left"/>
      <w:pPr>
        <w:ind w:left="915" w:hanging="720"/>
      </w:pPr>
      <w:rPr>
        <w:rFonts w:hint="default"/>
      </w:rPr>
    </w:lvl>
    <w:lvl w:ilvl="1" w:tplc="04090001">
      <w:start w:val="1"/>
      <w:numFmt w:val="bullet"/>
      <w:lvlText w:val=""/>
      <w:lvlJc w:val="left"/>
      <w:pPr>
        <w:ind w:left="1275" w:hanging="360"/>
      </w:pPr>
      <w:rPr>
        <w:rFonts w:ascii="Symbol" w:hAnsi="Symbol" w:hint="default"/>
      </w:r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4D503BDF"/>
    <w:multiLevelType w:val="hybridMultilevel"/>
    <w:tmpl w:val="2B68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135E4"/>
    <w:multiLevelType w:val="hybridMultilevel"/>
    <w:tmpl w:val="05784FCE"/>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18378C"/>
    <w:multiLevelType w:val="hybridMultilevel"/>
    <w:tmpl w:val="4F9A1D64"/>
    <w:lvl w:ilvl="0" w:tplc="87F42BE0">
      <w:start w:val="1"/>
      <w:numFmt w:val="lowerLetter"/>
      <w:lvlText w:val="%1)"/>
      <w:lvlJc w:val="left"/>
      <w:pPr>
        <w:ind w:left="915" w:hanging="72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75ED57B7"/>
    <w:multiLevelType w:val="hybridMultilevel"/>
    <w:tmpl w:val="A450057C"/>
    <w:lvl w:ilvl="0" w:tplc="04090017">
      <w:start w:val="1"/>
      <w:numFmt w:val="lowerLetter"/>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22"/>
  </w:num>
  <w:num w:numId="15">
    <w:abstractNumId w:val="14"/>
  </w:num>
  <w:num w:numId="16">
    <w:abstractNumId w:val="21"/>
  </w:num>
  <w:num w:numId="17">
    <w:abstractNumId w:val="17"/>
  </w:num>
  <w:num w:numId="18">
    <w:abstractNumId w:val="20"/>
  </w:num>
  <w:num w:numId="19">
    <w:abstractNumId w:val="13"/>
  </w:num>
  <w:num w:numId="20">
    <w:abstractNumId w:val="16"/>
  </w:num>
  <w:num w:numId="21">
    <w:abstractNumId w:val="10"/>
  </w:num>
  <w:num w:numId="22">
    <w:abstractNumId w:val="12"/>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82"/>
    <w:rsid w:val="00003D5B"/>
    <w:rsid w:val="00005C33"/>
    <w:rsid w:val="0000797B"/>
    <w:rsid w:val="000112B8"/>
    <w:rsid w:val="000132BF"/>
    <w:rsid w:val="00016017"/>
    <w:rsid w:val="00016BB8"/>
    <w:rsid w:val="00024D54"/>
    <w:rsid w:val="00025139"/>
    <w:rsid w:val="000274DE"/>
    <w:rsid w:val="0004453A"/>
    <w:rsid w:val="00044789"/>
    <w:rsid w:val="00046F11"/>
    <w:rsid w:val="000543B6"/>
    <w:rsid w:val="000549A5"/>
    <w:rsid w:val="00055C42"/>
    <w:rsid w:val="000617C7"/>
    <w:rsid w:val="000626AF"/>
    <w:rsid w:val="00064807"/>
    <w:rsid w:val="00065C56"/>
    <w:rsid w:val="00070C6D"/>
    <w:rsid w:val="0007175B"/>
    <w:rsid w:val="00073930"/>
    <w:rsid w:val="00074B11"/>
    <w:rsid w:val="0007515C"/>
    <w:rsid w:val="00077603"/>
    <w:rsid w:val="00080500"/>
    <w:rsid w:val="00082428"/>
    <w:rsid w:val="000850E5"/>
    <w:rsid w:val="00091031"/>
    <w:rsid w:val="000A26BF"/>
    <w:rsid w:val="000A3987"/>
    <w:rsid w:val="000A3E21"/>
    <w:rsid w:val="000A7114"/>
    <w:rsid w:val="000B1F52"/>
    <w:rsid w:val="000C2818"/>
    <w:rsid w:val="000C2B71"/>
    <w:rsid w:val="000D006B"/>
    <w:rsid w:val="000D122F"/>
    <w:rsid w:val="000D1B71"/>
    <w:rsid w:val="000D1F70"/>
    <w:rsid w:val="000D428D"/>
    <w:rsid w:val="000D5AE1"/>
    <w:rsid w:val="000E1BF2"/>
    <w:rsid w:val="000E5FF0"/>
    <w:rsid w:val="000F002F"/>
    <w:rsid w:val="000F34E0"/>
    <w:rsid w:val="000F34EE"/>
    <w:rsid w:val="00101A95"/>
    <w:rsid w:val="0010260C"/>
    <w:rsid w:val="00110989"/>
    <w:rsid w:val="0011169C"/>
    <w:rsid w:val="0011343F"/>
    <w:rsid w:val="00115A80"/>
    <w:rsid w:val="0012416C"/>
    <w:rsid w:val="00125F61"/>
    <w:rsid w:val="00130743"/>
    <w:rsid w:val="00132748"/>
    <w:rsid w:val="00132D1C"/>
    <w:rsid w:val="00133434"/>
    <w:rsid w:val="0013417C"/>
    <w:rsid w:val="00136B56"/>
    <w:rsid w:val="00141657"/>
    <w:rsid w:val="00142336"/>
    <w:rsid w:val="00144C18"/>
    <w:rsid w:val="0014554B"/>
    <w:rsid w:val="00150135"/>
    <w:rsid w:val="00151649"/>
    <w:rsid w:val="00151FDD"/>
    <w:rsid w:val="001536E0"/>
    <w:rsid w:val="0015396D"/>
    <w:rsid w:val="001549AE"/>
    <w:rsid w:val="0015618E"/>
    <w:rsid w:val="00156BDC"/>
    <w:rsid w:val="00166AAD"/>
    <w:rsid w:val="00167AE6"/>
    <w:rsid w:val="00176801"/>
    <w:rsid w:val="00177720"/>
    <w:rsid w:val="00182F66"/>
    <w:rsid w:val="00184E39"/>
    <w:rsid w:val="0018689B"/>
    <w:rsid w:val="00190635"/>
    <w:rsid w:val="00193AAA"/>
    <w:rsid w:val="0019757A"/>
    <w:rsid w:val="00197C55"/>
    <w:rsid w:val="001A010A"/>
    <w:rsid w:val="001A19E7"/>
    <w:rsid w:val="001A2050"/>
    <w:rsid w:val="001A2B1C"/>
    <w:rsid w:val="001A37C3"/>
    <w:rsid w:val="001A48B0"/>
    <w:rsid w:val="001A4F86"/>
    <w:rsid w:val="001A5362"/>
    <w:rsid w:val="001B7046"/>
    <w:rsid w:val="001B71EB"/>
    <w:rsid w:val="001C1A4D"/>
    <w:rsid w:val="001C3C3E"/>
    <w:rsid w:val="001C68E8"/>
    <w:rsid w:val="001C7F72"/>
    <w:rsid w:val="001D29F1"/>
    <w:rsid w:val="001D55DE"/>
    <w:rsid w:val="001D5E84"/>
    <w:rsid w:val="001D6E0A"/>
    <w:rsid w:val="001E3571"/>
    <w:rsid w:val="001E664A"/>
    <w:rsid w:val="001E7848"/>
    <w:rsid w:val="001F1290"/>
    <w:rsid w:val="001F42B7"/>
    <w:rsid w:val="001F7590"/>
    <w:rsid w:val="002072BF"/>
    <w:rsid w:val="00210421"/>
    <w:rsid w:val="00210631"/>
    <w:rsid w:val="00210D3E"/>
    <w:rsid w:val="00211C01"/>
    <w:rsid w:val="00211DCA"/>
    <w:rsid w:val="00212489"/>
    <w:rsid w:val="002206BE"/>
    <w:rsid w:val="00222682"/>
    <w:rsid w:val="00223F4B"/>
    <w:rsid w:val="00226303"/>
    <w:rsid w:val="00231399"/>
    <w:rsid w:val="00231D96"/>
    <w:rsid w:val="00234218"/>
    <w:rsid w:val="002354F2"/>
    <w:rsid w:val="00240A0E"/>
    <w:rsid w:val="002412FE"/>
    <w:rsid w:val="00243EAB"/>
    <w:rsid w:val="00244C63"/>
    <w:rsid w:val="0024502E"/>
    <w:rsid w:val="0025260E"/>
    <w:rsid w:val="0025321A"/>
    <w:rsid w:val="002557E8"/>
    <w:rsid w:val="00256D1D"/>
    <w:rsid w:val="00257CAA"/>
    <w:rsid w:val="002600AB"/>
    <w:rsid w:val="002600F8"/>
    <w:rsid w:val="0026044E"/>
    <w:rsid w:val="0026073A"/>
    <w:rsid w:val="00261BE4"/>
    <w:rsid w:val="00261CAF"/>
    <w:rsid w:val="00262AD6"/>
    <w:rsid w:val="00263F9B"/>
    <w:rsid w:val="00264BB8"/>
    <w:rsid w:val="00265BD8"/>
    <w:rsid w:val="002846E7"/>
    <w:rsid w:val="002851D8"/>
    <w:rsid w:val="002926BD"/>
    <w:rsid w:val="00292FAC"/>
    <w:rsid w:val="00293657"/>
    <w:rsid w:val="00295817"/>
    <w:rsid w:val="00295FCD"/>
    <w:rsid w:val="00296287"/>
    <w:rsid w:val="002A1A39"/>
    <w:rsid w:val="002A6006"/>
    <w:rsid w:val="002B0F48"/>
    <w:rsid w:val="002B281F"/>
    <w:rsid w:val="002B43EF"/>
    <w:rsid w:val="002B6B40"/>
    <w:rsid w:val="002C3817"/>
    <w:rsid w:val="002C77B0"/>
    <w:rsid w:val="002C7E4A"/>
    <w:rsid w:val="002D2F2F"/>
    <w:rsid w:val="002D3907"/>
    <w:rsid w:val="002D4E40"/>
    <w:rsid w:val="002D6719"/>
    <w:rsid w:val="002D743A"/>
    <w:rsid w:val="002D7B9B"/>
    <w:rsid w:val="002D7C01"/>
    <w:rsid w:val="002E3F26"/>
    <w:rsid w:val="002E4204"/>
    <w:rsid w:val="002E42F1"/>
    <w:rsid w:val="002F0F7D"/>
    <w:rsid w:val="002F35F3"/>
    <w:rsid w:val="002F6A2C"/>
    <w:rsid w:val="002F7164"/>
    <w:rsid w:val="003073DA"/>
    <w:rsid w:val="003100FF"/>
    <w:rsid w:val="00310DF0"/>
    <w:rsid w:val="00320014"/>
    <w:rsid w:val="0032145F"/>
    <w:rsid w:val="00324839"/>
    <w:rsid w:val="003307E4"/>
    <w:rsid w:val="00333484"/>
    <w:rsid w:val="00336750"/>
    <w:rsid w:val="00336E7E"/>
    <w:rsid w:val="003422EB"/>
    <w:rsid w:val="00343A18"/>
    <w:rsid w:val="00344256"/>
    <w:rsid w:val="00345975"/>
    <w:rsid w:val="00350BA9"/>
    <w:rsid w:val="00353702"/>
    <w:rsid w:val="0035679B"/>
    <w:rsid w:val="0036279F"/>
    <w:rsid w:val="003640C5"/>
    <w:rsid w:val="00371B7A"/>
    <w:rsid w:val="003729F9"/>
    <w:rsid w:val="00375CF0"/>
    <w:rsid w:val="00375F19"/>
    <w:rsid w:val="003764D0"/>
    <w:rsid w:val="003779BB"/>
    <w:rsid w:val="00377BBC"/>
    <w:rsid w:val="003802A0"/>
    <w:rsid w:val="003818FD"/>
    <w:rsid w:val="0038208C"/>
    <w:rsid w:val="003835CD"/>
    <w:rsid w:val="0038560E"/>
    <w:rsid w:val="0038561D"/>
    <w:rsid w:val="003960E0"/>
    <w:rsid w:val="003B06F3"/>
    <w:rsid w:val="003B2347"/>
    <w:rsid w:val="003C0103"/>
    <w:rsid w:val="003C552F"/>
    <w:rsid w:val="003C5C8A"/>
    <w:rsid w:val="003C6E0B"/>
    <w:rsid w:val="003D0E4B"/>
    <w:rsid w:val="003D130D"/>
    <w:rsid w:val="003D16AD"/>
    <w:rsid w:val="003D216E"/>
    <w:rsid w:val="003D3FF3"/>
    <w:rsid w:val="003E022F"/>
    <w:rsid w:val="003E4496"/>
    <w:rsid w:val="003E5E1C"/>
    <w:rsid w:val="003E76BA"/>
    <w:rsid w:val="003F336B"/>
    <w:rsid w:val="003F5770"/>
    <w:rsid w:val="003F7072"/>
    <w:rsid w:val="00411B18"/>
    <w:rsid w:val="004127D2"/>
    <w:rsid w:val="00413832"/>
    <w:rsid w:val="004160B2"/>
    <w:rsid w:val="00420385"/>
    <w:rsid w:val="0042136E"/>
    <w:rsid w:val="00421C09"/>
    <w:rsid w:val="0042345E"/>
    <w:rsid w:val="00425421"/>
    <w:rsid w:val="0043228A"/>
    <w:rsid w:val="00450691"/>
    <w:rsid w:val="004518F3"/>
    <w:rsid w:val="004523D6"/>
    <w:rsid w:val="00453408"/>
    <w:rsid w:val="00463866"/>
    <w:rsid w:val="00465A54"/>
    <w:rsid w:val="0047093B"/>
    <w:rsid w:val="004710DC"/>
    <w:rsid w:val="004711D5"/>
    <w:rsid w:val="004719FF"/>
    <w:rsid w:val="004731A1"/>
    <w:rsid w:val="00473477"/>
    <w:rsid w:val="0047610C"/>
    <w:rsid w:val="0047733C"/>
    <w:rsid w:val="004779F7"/>
    <w:rsid w:val="00477A36"/>
    <w:rsid w:val="00480657"/>
    <w:rsid w:val="00481FFD"/>
    <w:rsid w:val="004823E7"/>
    <w:rsid w:val="0048592F"/>
    <w:rsid w:val="00486E2B"/>
    <w:rsid w:val="004879A5"/>
    <w:rsid w:val="00490500"/>
    <w:rsid w:val="00490A7A"/>
    <w:rsid w:val="00494B24"/>
    <w:rsid w:val="004952E6"/>
    <w:rsid w:val="0049539D"/>
    <w:rsid w:val="00497FE0"/>
    <w:rsid w:val="004A1930"/>
    <w:rsid w:val="004A4D5C"/>
    <w:rsid w:val="004A5CED"/>
    <w:rsid w:val="004B1FE4"/>
    <w:rsid w:val="004B3E77"/>
    <w:rsid w:val="004B5E68"/>
    <w:rsid w:val="004B6903"/>
    <w:rsid w:val="004B75C7"/>
    <w:rsid w:val="004C5A0B"/>
    <w:rsid w:val="004C5F39"/>
    <w:rsid w:val="004D06EF"/>
    <w:rsid w:val="004D521C"/>
    <w:rsid w:val="004D635E"/>
    <w:rsid w:val="004D7917"/>
    <w:rsid w:val="004E03F0"/>
    <w:rsid w:val="004E2D79"/>
    <w:rsid w:val="004E690D"/>
    <w:rsid w:val="004E7D46"/>
    <w:rsid w:val="004E7DBA"/>
    <w:rsid w:val="004F018E"/>
    <w:rsid w:val="004F1723"/>
    <w:rsid w:val="004F45F2"/>
    <w:rsid w:val="00506106"/>
    <w:rsid w:val="005136C4"/>
    <w:rsid w:val="00514A27"/>
    <w:rsid w:val="005203EA"/>
    <w:rsid w:val="00521034"/>
    <w:rsid w:val="00523E97"/>
    <w:rsid w:val="0052749C"/>
    <w:rsid w:val="00537EBA"/>
    <w:rsid w:val="00543F4E"/>
    <w:rsid w:val="005444C4"/>
    <w:rsid w:val="00545946"/>
    <w:rsid w:val="0055411C"/>
    <w:rsid w:val="005615A0"/>
    <w:rsid w:val="00562156"/>
    <w:rsid w:val="00562DB9"/>
    <w:rsid w:val="00570091"/>
    <w:rsid w:val="00570340"/>
    <w:rsid w:val="005708D0"/>
    <w:rsid w:val="005765ED"/>
    <w:rsid w:val="00576B91"/>
    <w:rsid w:val="005830EC"/>
    <w:rsid w:val="00583B70"/>
    <w:rsid w:val="00590A7C"/>
    <w:rsid w:val="00591C73"/>
    <w:rsid w:val="0059435B"/>
    <w:rsid w:val="00595A29"/>
    <w:rsid w:val="005A1CEC"/>
    <w:rsid w:val="005A7839"/>
    <w:rsid w:val="005B0CF1"/>
    <w:rsid w:val="005B0D96"/>
    <w:rsid w:val="005B616A"/>
    <w:rsid w:val="005C010C"/>
    <w:rsid w:val="005C0E3C"/>
    <w:rsid w:val="005C2E2D"/>
    <w:rsid w:val="005C3166"/>
    <w:rsid w:val="005C3AEE"/>
    <w:rsid w:val="005D0A37"/>
    <w:rsid w:val="005E4E62"/>
    <w:rsid w:val="005E7068"/>
    <w:rsid w:val="005E74ED"/>
    <w:rsid w:val="005F5E1A"/>
    <w:rsid w:val="005F6B03"/>
    <w:rsid w:val="005F7046"/>
    <w:rsid w:val="00605798"/>
    <w:rsid w:val="00605DC6"/>
    <w:rsid w:val="00610BB1"/>
    <w:rsid w:val="0061550C"/>
    <w:rsid w:val="00621CB4"/>
    <w:rsid w:val="0062546F"/>
    <w:rsid w:val="00626C50"/>
    <w:rsid w:val="0063098F"/>
    <w:rsid w:val="0063513A"/>
    <w:rsid w:val="00636A04"/>
    <w:rsid w:val="00644BFD"/>
    <w:rsid w:val="006450F7"/>
    <w:rsid w:val="006451CF"/>
    <w:rsid w:val="006462EF"/>
    <w:rsid w:val="0065113A"/>
    <w:rsid w:val="00654E22"/>
    <w:rsid w:val="00661B5A"/>
    <w:rsid w:val="006639AD"/>
    <w:rsid w:val="00663BBA"/>
    <w:rsid w:val="006646A9"/>
    <w:rsid w:val="0066495B"/>
    <w:rsid w:val="006668A5"/>
    <w:rsid w:val="00667528"/>
    <w:rsid w:val="00670A39"/>
    <w:rsid w:val="006725AC"/>
    <w:rsid w:val="00672722"/>
    <w:rsid w:val="00675047"/>
    <w:rsid w:val="00675F80"/>
    <w:rsid w:val="00684232"/>
    <w:rsid w:val="006864BB"/>
    <w:rsid w:val="00686779"/>
    <w:rsid w:val="00690D83"/>
    <w:rsid w:val="00695716"/>
    <w:rsid w:val="00696036"/>
    <w:rsid w:val="006965E9"/>
    <w:rsid w:val="00697E02"/>
    <w:rsid w:val="006A2D2E"/>
    <w:rsid w:val="006A3B4C"/>
    <w:rsid w:val="006A6CA4"/>
    <w:rsid w:val="006A7355"/>
    <w:rsid w:val="006B0482"/>
    <w:rsid w:val="006B1724"/>
    <w:rsid w:val="006B3940"/>
    <w:rsid w:val="006B4943"/>
    <w:rsid w:val="006B7449"/>
    <w:rsid w:val="006C295F"/>
    <w:rsid w:val="006C2B9C"/>
    <w:rsid w:val="006C32AE"/>
    <w:rsid w:val="006C44A2"/>
    <w:rsid w:val="006D2B82"/>
    <w:rsid w:val="006D45A1"/>
    <w:rsid w:val="006D5E0B"/>
    <w:rsid w:val="006D6EA6"/>
    <w:rsid w:val="006E05AF"/>
    <w:rsid w:val="006E084E"/>
    <w:rsid w:val="006E1AB5"/>
    <w:rsid w:val="006E4DED"/>
    <w:rsid w:val="006F7C97"/>
    <w:rsid w:val="0070109F"/>
    <w:rsid w:val="00703CDE"/>
    <w:rsid w:val="00704EA7"/>
    <w:rsid w:val="0070632D"/>
    <w:rsid w:val="007064D8"/>
    <w:rsid w:val="00706AF4"/>
    <w:rsid w:val="007101EF"/>
    <w:rsid w:val="007169B4"/>
    <w:rsid w:val="00722C26"/>
    <w:rsid w:val="0072491E"/>
    <w:rsid w:val="00727444"/>
    <w:rsid w:val="00727CF2"/>
    <w:rsid w:val="00727E86"/>
    <w:rsid w:val="00732B42"/>
    <w:rsid w:val="00737F0D"/>
    <w:rsid w:val="00741425"/>
    <w:rsid w:val="00742AE1"/>
    <w:rsid w:val="00743181"/>
    <w:rsid w:val="0074440B"/>
    <w:rsid w:val="007503ED"/>
    <w:rsid w:val="00751BDF"/>
    <w:rsid w:val="00752049"/>
    <w:rsid w:val="00752794"/>
    <w:rsid w:val="007554B7"/>
    <w:rsid w:val="00760A2B"/>
    <w:rsid w:val="007616CD"/>
    <w:rsid w:val="00770158"/>
    <w:rsid w:val="0077723B"/>
    <w:rsid w:val="00781AA1"/>
    <w:rsid w:val="00784370"/>
    <w:rsid w:val="007851FE"/>
    <w:rsid w:val="00786563"/>
    <w:rsid w:val="00786FD4"/>
    <w:rsid w:val="007905CF"/>
    <w:rsid w:val="00792D79"/>
    <w:rsid w:val="007967B9"/>
    <w:rsid w:val="00796E31"/>
    <w:rsid w:val="007A5FA5"/>
    <w:rsid w:val="007B114C"/>
    <w:rsid w:val="007B4385"/>
    <w:rsid w:val="007B49D4"/>
    <w:rsid w:val="007B765A"/>
    <w:rsid w:val="007C28C0"/>
    <w:rsid w:val="007D40E8"/>
    <w:rsid w:val="007D60BC"/>
    <w:rsid w:val="007E172B"/>
    <w:rsid w:val="007E2AB6"/>
    <w:rsid w:val="007E3622"/>
    <w:rsid w:val="007E6160"/>
    <w:rsid w:val="007F14C2"/>
    <w:rsid w:val="007F1576"/>
    <w:rsid w:val="007F27FB"/>
    <w:rsid w:val="007F4D5A"/>
    <w:rsid w:val="007F547A"/>
    <w:rsid w:val="007F5E5E"/>
    <w:rsid w:val="007F72AF"/>
    <w:rsid w:val="008001A1"/>
    <w:rsid w:val="00800A62"/>
    <w:rsid w:val="00803397"/>
    <w:rsid w:val="00806405"/>
    <w:rsid w:val="0081224F"/>
    <w:rsid w:val="00812641"/>
    <w:rsid w:val="00813A01"/>
    <w:rsid w:val="00813E63"/>
    <w:rsid w:val="0081627B"/>
    <w:rsid w:val="00821091"/>
    <w:rsid w:val="00822814"/>
    <w:rsid w:val="008271B8"/>
    <w:rsid w:val="00827E48"/>
    <w:rsid w:val="008304B4"/>
    <w:rsid w:val="00830E55"/>
    <w:rsid w:val="0083411F"/>
    <w:rsid w:val="008344A2"/>
    <w:rsid w:val="008366B9"/>
    <w:rsid w:val="008407E0"/>
    <w:rsid w:val="00843929"/>
    <w:rsid w:val="008439E8"/>
    <w:rsid w:val="008468E9"/>
    <w:rsid w:val="0085319D"/>
    <w:rsid w:val="0085557C"/>
    <w:rsid w:val="008610CB"/>
    <w:rsid w:val="00862B22"/>
    <w:rsid w:val="00863A26"/>
    <w:rsid w:val="00863A31"/>
    <w:rsid w:val="00863E87"/>
    <w:rsid w:val="00866C4D"/>
    <w:rsid w:val="00866E1E"/>
    <w:rsid w:val="00867BF2"/>
    <w:rsid w:val="00872A30"/>
    <w:rsid w:val="00875B84"/>
    <w:rsid w:val="00877355"/>
    <w:rsid w:val="00884CB7"/>
    <w:rsid w:val="00891F3C"/>
    <w:rsid w:val="00893130"/>
    <w:rsid w:val="00894E77"/>
    <w:rsid w:val="0089536F"/>
    <w:rsid w:val="00896EC8"/>
    <w:rsid w:val="008A5DEE"/>
    <w:rsid w:val="008B06B6"/>
    <w:rsid w:val="008B2A83"/>
    <w:rsid w:val="008B4C4C"/>
    <w:rsid w:val="008B5705"/>
    <w:rsid w:val="008C01D9"/>
    <w:rsid w:val="008C140B"/>
    <w:rsid w:val="008C2AFA"/>
    <w:rsid w:val="008C5BA5"/>
    <w:rsid w:val="008C65CF"/>
    <w:rsid w:val="008C7012"/>
    <w:rsid w:val="008C7F6B"/>
    <w:rsid w:val="008D0FEE"/>
    <w:rsid w:val="008D17AC"/>
    <w:rsid w:val="008D1FAD"/>
    <w:rsid w:val="008D4637"/>
    <w:rsid w:val="008D5C35"/>
    <w:rsid w:val="008E4031"/>
    <w:rsid w:val="008E4380"/>
    <w:rsid w:val="008E4B63"/>
    <w:rsid w:val="008E5C57"/>
    <w:rsid w:val="008E7690"/>
    <w:rsid w:val="008F2645"/>
    <w:rsid w:val="008F5F8F"/>
    <w:rsid w:val="00900838"/>
    <w:rsid w:val="00902805"/>
    <w:rsid w:val="00904368"/>
    <w:rsid w:val="0090667C"/>
    <w:rsid w:val="009148B0"/>
    <w:rsid w:val="00915F57"/>
    <w:rsid w:val="00920A28"/>
    <w:rsid w:val="0092151C"/>
    <w:rsid w:val="009218E0"/>
    <w:rsid w:val="00925081"/>
    <w:rsid w:val="00925F80"/>
    <w:rsid w:val="00930E25"/>
    <w:rsid w:val="00931CE5"/>
    <w:rsid w:val="0093316F"/>
    <w:rsid w:val="00936DA9"/>
    <w:rsid w:val="00940B84"/>
    <w:rsid w:val="009421FA"/>
    <w:rsid w:val="009433C1"/>
    <w:rsid w:val="009449C3"/>
    <w:rsid w:val="0094684C"/>
    <w:rsid w:val="00950FE0"/>
    <w:rsid w:val="009534EE"/>
    <w:rsid w:val="00953E67"/>
    <w:rsid w:val="0095436E"/>
    <w:rsid w:val="0096228B"/>
    <w:rsid w:val="00962808"/>
    <w:rsid w:val="00963A55"/>
    <w:rsid w:val="00967F17"/>
    <w:rsid w:val="009719EB"/>
    <w:rsid w:val="00975336"/>
    <w:rsid w:val="00975811"/>
    <w:rsid w:val="009776A2"/>
    <w:rsid w:val="00977AC2"/>
    <w:rsid w:val="0098112B"/>
    <w:rsid w:val="009813C9"/>
    <w:rsid w:val="00983B4D"/>
    <w:rsid w:val="00984F7F"/>
    <w:rsid w:val="0098669B"/>
    <w:rsid w:val="00986EAA"/>
    <w:rsid w:val="0099178D"/>
    <w:rsid w:val="00991910"/>
    <w:rsid w:val="009926AA"/>
    <w:rsid w:val="00994756"/>
    <w:rsid w:val="00994DC0"/>
    <w:rsid w:val="00996C33"/>
    <w:rsid w:val="009A726A"/>
    <w:rsid w:val="009B1F06"/>
    <w:rsid w:val="009B2AB1"/>
    <w:rsid w:val="009B2B42"/>
    <w:rsid w:val="009B7EC6"/>
    <w:rsid w:val="009C3D22"/>
    <w:rsid w:val="009C5275"/>
    <w:rsid w:val="009D11B0"/>
    <w:rsid w:val="009D157D"/>
    <w:rsid w:val="009D7114"/>
    <w:rsid w:val="009E6CF9"/>
    <w:rsid w:val="009E7CBC"/>
    <w:rsid w:val="009F3374"/>
    <w:rsid w:val="009F4073"/>
    <w:rsid w:val="009F5629"/>
    <w:rsid w:val="009F6C42"/>
    <w:rsid w:val="00A01DBB"/>
    <w:rsid w:val="00A04F39"/>
    <w:rsid w:val="00A11896"/>
    <w:rsid w:val="00A122C2"/>
    <w:rsid w:val="00A13944"/>
    <w:rsid w:val="00A13CEA"/>
    <w:rsid w:val="00A17B71"/>
    <w:rsid w:val="00A20B3E"/>
    <w:rsid w:val="00A234FE"/>
    <w:rsid w:val="00A31F12"/>
    <w:rsid w:val="00A3357C"/>
    <w:rsid w:val="00A365A7"/>
    <w:rsid w:val="00A41A44"/>
    <w:rsid w:val="00A42B58"/>
    <w:rsid w:val="00A4394E"/>
    <w:rsid w:val="00A5170C"/>
    <w:rsid w:val="00A524EB"/>
    <w:rsid w:val="00A54A0F"/>
    <w:rsid w:val="00A55862"/>
    <w:rsid w:val="00A60CBC"/>
    <w:rsid w:val="00A60E76"/>
    <w:rsid w:val="00A65EEB"/>
    <w:rsid w:val="00A70D86"/>
    <w:rsid w:val="00A71D6B"/>
    <w:rsid w:val="00A748C3"/>
    <w:rsid w:val="00A74DCD"/>
    <w:rsid w:val="00A75ECE"/>
    <w:rsid w:val="00A760BD"/>
    <w:rsid w:val="00A84765"/>
    <w:rsid w:val="00A87F19"/>
    <w:rsid w:val="00A90ECF"/>
    <w:rsid w:val="00A93CB1"/>
    <w:rsid w:val="00AA0AD6"/>
    <w:rsid w:val="00AA3107"/>
    <w:rsid w:val="00AA6650"/>
    <w:rsid w:val="00AA74AB"/>
    <w:rsid w:val="00AB1825"/>
    <w:rsid w:val="00AB3D95"/>
    <w:rsid w:val="00AB4407"/>
    <w:rsid w:val="00AB6379"/>
    <w:rsid w:val="00AB6F92"/>
    <w:rsid w:val="00AC0C6C"/>
    <w:rsid w:val="00AC1C04"/>
    <w:rsid w:val="00AC244E"/>
    <w:rsid w:val="00AC29D2"/>
    <w:rsid w:val="00AC412A"/>
    <w:rsid w:val="00AC704B"/>
    <w:rsid w:val="00AD2A7C"/>
    <w:rsid w:val="00AD32FA"/>
    <w:rsid w:val="00AD59FC"/>
    <w:rsid w:val="00AD7396"/>
    <w:rsid w:val="00AE17F3"/>
    <w:rsid w:val="00AE73DA"/>
    <w:rsid w:val="00AF0B44"/>
    <w:rsid w:val="00AF6CB2"/>
    <w:rsid w:val="00AF7AE1"/>
    <w:rsid w:val="00B00A95"/>
    <w:rsid w:val="00B03019"/>
    <w:rsid w:val="00B03461"/>
    <w:rsid w:val="00B065D0"/>
    <w:rsid w:val="00B12EC1"/>
    <w:rsid w:val="00B13026"/>
    <w:rsid w:val="00B13749"/>
    <w:rsid w:val="00B15B83"/>
    <w:rsid w:val="00B21F06"/>
    <w:rsid w:val="00B2237F"/>
    <w:rsid w:val="00B22380"/>
    <w:rsid w:val="00B23617"/>
    <w:rsid w:val="00B30D5B"/>
    <w:rsid w:val="00B31B55"/>
    <w:rsid w:val="00B33490"/>
    <w:rsid w:val="00B36402"/>
    <w:rsid w:val="00B40D39"/>
    <w:rsid w:val="00B44713"/>
    <w:rsid w:val="00B50261"/>
    <w:rsid w:val="00B5331E"/>
    <w:rsid w:val="00B62590"/>
    <w:rsid w:val="00B6416C"/>
    <w:rsid w:val="00B70F26"/>
    <w:rsid w:val="00B71D15"/>
    <w:rsid w:val="00B773CD"/>
    <w:rsid w:val="00B81DC2"/>
    <w:rsid w:val="00B862D8"/>
    <w:rsid w:val="00B87CEA"/>
    <w:rsid w:val="00B9017F"/>
    <w:rsid w:val="00B91B7F"/>
    <w:rsid w:val="00B931F5"/>
    <w:rsid w:val="00B9664B"/>
    <w:rsid w:val="00B978F4"/>
    <w:rsid w:val="00BA3789"/>
    <w:rsid w:val="00BA56C9"/>
    <w:rsid w:val="00BA7A6C"/>
    <w:rsid w:val="00BB3FB7"/>
    <w:rsid w:val="00BB585F"/>
    <w:rsid w:val="00BC1828"/>
    <w:rsid w:val="00BC3A4D"/>
    <w:rsid w:val="00BC59CC"/>
    <w:rsid w:val="00BD0A93"/>
    <w:rsid w:val="00BD32F7"/>
    <w:rsid w:val="00BD3871"/>
    <w:rsid w:val="00BD39BE"/>
    <w:rsid w:val="00BE0F74"/>
    <w:rsid w:val="00BE293D"/>
    <w:rsid w:val="00BE38D4"/>
    <w:rsid w:val="00BE3D88"/>
    <w:rsid w:val="00C01226"/>
    <w:rsid w:val="00C03108"/>
    <w:rsid w:val="00C053D2"/>
    <w:rsid w:val="00C05FE4"/>
    <w:rsid w:val="00C06E62"/>
    <w:rsid w:val="00C117CE"/>
    <w:rsid w:val="00C12822"/>
    <w:rsid w:val="00C13FDB"/>
    <w:rsid w:val="00C14C0B"/>
    <w:rsid w:val="00C14D86"/>
    <w:rsid w:val="00C22C95"/>
    <w:rsid w:val="00C2477B"/>
    <w:rsid w:val="00C332EF"/>
    <w:rsid w:val="00C33EEB"/>
    <w:rsid w:val="00C34295"/>
    <w:rsid w:val="00C35FE4"/>
    <w:rsid w:val="00C43FFE"/>
    <w:rsid w:val="00C441E5"/>
    <w:rsid w:val="00C46426"/>
    <w:rsid w:val="00C51119"/>
    <w:rsid w:val="00C5313E"/>
    <w:rsid w:val="00C54899"/>
    <w:rsid w:val="00C565A3"/>
    <w:rsid w:val="00C63212"/>
    <w:rsid w:val="00C633B7"/>
    <w:rsid w:val="00C6600A"/>
    <w:rsid w:val="00C67BB0"/>
    <w:rsid w:val="00C80147"/>
    <w:rsid w:val="00C83BBA"/>
    <w:rsid w:val="00C8636B"/>
    <w:rsid w:val="00C906BB"/>
    <w:rsid w:val="00C9344A"/>
    <w:rsid w:val="00C95D75"/>
    <w:rsid w:val="00CA749C"/>
    <w:rsid w:val="00CA7CBC"/>
    <w:rsid w:val="00CB672D"/>
    <w:rsid w:val="00CB7C7D"/>
    <w:rsid w:val="00CC02B5"/>
    <w:rsid w:val="00CC1EDB"/>
    <w:rsid w:val="00CC6AB3"/>
    <w:rsid w:val="00CC7774"/>
    <w:rsid w:val="00CD3A42"/>
    <w:rsid w:val="00CD4C45"/>
    <w:rsid w:val="00CE303D"/>
    <w:rsid w:val="00CE36CA"/>
    <w:rsid w:val="00CE437D"/>
    <w:rsid w:val="00CF0D99"/>
    <w:rsid w:val="00CF1CBB"/>
    <w:rsid w:val="00CF2003"/>
    <w:rsid w:val="00CF25C3"/>
    <w:rsid w:val="00CF2AA1"/>
    <w:rsid w:val="00CF5217"/>
    <w:rsid w:val="00CF616B"/>
    <w:rsid w:val="00CF69CC"/>
    <w:rsid w:val="00D01F9C"/>
    <w:rsid w:val="00D02C6B"/>
    <w:rsid w:val="00D07AD0"/>
    <w:rsid w:val="00D150F9"/>
    <w:rsid w:val="00D16B21"/>
    <w:rsid w:val="00D262B8"/>
    <w:rsid w:val="00D263C2"/>
    <w:rsid w:val="00D31C53"/>
    <w:rsid w:val="00D33E82"/>
    <w:rsid w:val="00D36446"/>
    <w:rsid w:val="00D40ACB"/>
    <w:rsid w:val="00D41704"/>
    <w:rsid w:val="00D43A6A"/>
    <w:rsid w:val="00D44B4E"/>
    <w:rsid w:val="00D46140"/>
    <w:rsid w:val="00D5108D"/>
    <w:rsid w:val="00D52DFE"/>
    <w:rsid w:val="00D53120"/>
    <w:rsid w:val="00D56F80"/>
    <w:rsid w:val="00D600F0"/>
    <w:rsid w:val="00D6281B"/>
    <w:rsid w:val="00D63932"/>
    <w:rsid w:val="00D6438F"/>
    <w:rsid w:val="00D71861"/>
    <w:rsid w:val="00D734E1"/>
    <w:rsid w:val="00D74366"/>
    <w:rsid w:val="00D76BD8"/>
    <w:rsid w:val="00D85EC0"/>
    <w:rsid w:val="00D90ECA"/>
    <w:rsid w:val="00D9147B"/>
    <w:rsid w:val="00D954EE"/>
    <w:rsid w:val="00D966C5"/>
    <w:rsid w:val="00D96BB0"/>
    <w:rsid w:val="00DA3C61"/>
    <w:rsid w:val="00DA5749"/>
    <w:rsid w:val="00DB012F"/>
    <w:rsid w:val="00DB71A9"/>
    <w:rsid w:val="00DB7930"/>
    <w:rsid w:val="00DC083A"/>
    <w:rsid w:val="00DC22CF"/>
    <w:rsid w:val="00DC24F9"/>
    <w:rsid w:val="00DC67E8"/>
    <w:rsid w:val="00DE5955"/>
    <w:rsid w:val="00DF090C"/>
    <w:rsid w:val="00DF31BB"/>
    <w:rsid w:val="00E018DF"/>
    <w:rsid w:val="00E03542"/>
    <w:rsid w:val="00E059C3"/>
    <w:rsid w:val="00E2361B"/>
    <w:rsid w:val="00E2393F"/>
    <w:rsid w:val="00E23B14"/>
    <w:rsid w:val="00E33A19"/>
    <w:rsid w:val="00E3444C"/>
    <w:rsid w:val="00E35CD0"/>
    <w:rsid w:val="00E40B33"/>
    <w:rsid w:val="00E414E4"/>
    <w:rsid w:val="00E41735"/>
    <w:rsid w:val="00E43580"/>
    <w:rsid w:val="00E50B58"/>
    <w:rsid w:val="00E51105"/>
    <w:rsid w:val="00E526F6"/>
    <w:rsid w:val="00E52929"/>
    <w:rsid w:val="00E53A95"/>
    <w:rsid w:val="00E5429D"/>
    <w:rsid w:val="00E543C7"/>
    <w:rsid w:val="00E61038"/>
    <w:rsid w:val="00E66465"/>
    <w:rsid w:val="00E678E7"/>
    <w:rsid w:val="00E70430"/>
    <w:rsid w:val="00E7176F"/>
    <w:rsid w:val="00E71D2B"/>
    <w:rsid w:val="00E73B75"/>
    <w:rsid w:val="00E741E2"/>
    <w:rsid w:val="00E77C53"/>
    <w:rsid w:val="00E80F4B"/>
    <w:rsid w:val="00E828B6"/>
    <w:rsid w:val="00E83D20"/>
    <w:rsid w:val="00E861A3"/>
    <w:rsid w:val="00E86FEB"/>
    <w:rsid w:val="00E937AF"/>
    <w:rsid w:val="00E93B6B"/>
    <w:rsid w:val="00E96AC7"/>
    <w:rsid w:val="00E97571"/>
    <w:rsid w:val="00EA167B"/>
    <w:rsid w:val="00EA19F4"/>
    <w:rsid w:val="00EA3270"/>
    <w:rsid w:val="00EA5486"/>
    <w:rsid w:val="00EA6410"/>
    <w:rsid w:val="00EA77CF"/>
    <w:rsid w:val="00EB3BC3"/>
    <w:rsid w:val="00EB5AD9"/>
    <w:rsid w:val="00EC379D"/>
    <w:rsid w:val="00ED386E"/>
    <w:rsid w:val="00ED456B"/>
    <w:rsid w:val="00ED7100"/>
    <w:rsid w:val="00EE7161"/>
    <w:rsid w:val="00EF6809"/>
    <w:rsid w:val="00F00766"/>
    <w:rsid w:val="00F02124"/>
    <w:rsid w:val="00F0222D"/>
    <w:rsid w:val="00F071CA"/>
    <w:rsid w:val="00F110C9"/>
    <w:rsid w:val="00F13F97"/>
    <w:rsid w:val="00F14293"/>
    <w:rsid w:val="00F146B2"/>
    <w:rsid w:val="00F1535E"/>
    <w:rsid w:val="00F16A27"/>
    <w:rsid w:val="00F16E2C"/>
    <w:rsid w:val="00F2439B"/>
    <w:rsid w:val="00F25442"/>
    <w:rsid w:val="00F269BA"/>
    <w:rsid w:val="00F40F63"/>
    <w:rsid w:val="00F41A5B"/>
    <w:rsid w:val="00F47C60"/>
    <w:rsid w:val="00F50C62"/>
    <w:rsid w:val="00F53EEF"/>
    <w:rsid w:val="00F54DE5"/>
    <w:rsid w:val="00F555FF"/>
    <w:rsid w:val="00F55CCF"/>
    <w:rsid w:val="00F61442"/>
    <w:rsid w:val="00F62DFA"/>
    <w:rsid w:val="00F63D6E"/>
    <w:rsid w:val="00F710F6"/>
    <w:rsid w:val="00F71504"/>
    <w:rsid w:val="00F73BAD"/>
    <w:rsid w:val="00F73C9D"/>
    <w:rsid w:val="00F7592C"/>
    <w:rsid w:val="00F77627"/>
    <w:rsid w:val="00F815D6"/>
    <w:rsid w:val="00F82262"/>
    <w:rsid w:val="00F825B6"/>
    <w:rsid w:val="00F83A9E"/>
    <w:rsid w:val="00F86D8D"/>
    <w:rsid w:val="00F92ABC"/>
    <w:rsid w:val="00F93F04"/>
    <w:rsid w:val="00F974B5"/>
    <w:rsid w:val="00FA2C79"/>
    <w:rsid w:val="00FA31A1"/>
    <w:rsid w:val="00FA657C"/>
    <w:rsid w:val="00FA7575"/>
    <w:rsid w:val="00FB1BC7"/>
    <w:rsid w:val="00FB4093"/>
    <w:rsid w:val="00FB72F8"/>
    <w:rsid w:val="00FC0789"/>
    <w:rsid w:val="00FC167C"/>
    <w:rsid w:val="00FC4606"/>
    <w:rsid w:val="00FC5414"/>
    <w:rsid w:val="00FC639C"/>
    <w:rsid w:val="00FD3425"/>
    <w:rsid w:val="00FD5B12"/>
    <w:rsid w:val="00FD7B0A"/>
    <w:rsid w:val="00FE0F25"/>
    <w:rsid w:val="00FE56A0"/>
    <w:rsid w:val="00FE750D"/>
    <w:rsid w:val="00FF1B31"/>
    <w:rsid w:val="024795F8"/>
    <w:rsid w:val="07C7F2B2"/>
    <w:rsid w:val="09CDE904"/>
    <w:rsid w:val="0CB257B1"/>
    <w:rsid w:val="134C6F8A"/>
    <w:rsid w:val="2F9E908F"/>
    <w:rsid w:val="33A647A7"/>
    <w:rsid w:val="393FAA3B"/>
    <w:rsid w:val="3FDF53FB"/>
    <w:rsid w:val="41580C9E"/>
    <w:rsid w:val="43BC737D"/>
    <w:rsid w:val="44C3FCB4"/>
    <w:rsid w:val="49DAD470"/>
    <w:rsid w:val="4E911EE9"/>
    <w:rsid w:val="5276C494"/>
    <w:rsid w:val="53059D2B"/>
    <w:rsid w:val="5A03F2E5"/>
    <w:rsid w:val="60ED5962"/>
    <w:rsid w:val="628F02A8"/>
    <w:rsid w:val="688267D4"/>
    <w:rsid w:val="693CB992"/>
    <w:rsid w:val="6C2ED710"/>
    <w:rsid w:val="7311D976"/>
    <w:rsid w:val="7558E629"/>
    <w:rsid w:val="762C56C7"/>
    <w:rsid w:val="7EAE114E"/>
    <w:rsid w:val="7F708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19FC0C"/>
  <w15:docId w15:val="{82FE8EB0-8788-4B86-B824-5AADE7E5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1"/>
      </w:numPr>
      <w:tabs>
        <w:tab w:val="clear" w:pos="720"/>
      </w:tabs>
      <w:spacing w:before="0" w:after="60" w:line="240" w:lineRule="auto"/>
      <w:jc w:val="left"/>
    </w:pPr>
  </w:style>
  <w:style w:type="character" w:styleId="Hyperlink">
    <w:name w:val="Hyperlink"/>
    <w:uiPriority w:val="99"/>
    <w:rsid w:val="00752794"/>
    <w:rPr>
      <w:color w:val="0000FF"/>
      <w:u w:val="single"/>
    </w:rPr>
  </w:style>
  <w:style w:type="paragraph" w:styleId="FootnoteText">
    <w:name w:val="footnote text"/>
    <w:basedOn w:val="Normal"/>
    <w:link w:val="FootnoteTextChar"/>
    <w:uiPriority w:val="99"/>
    <w:rsid w:val="00752794"/>
    <w:rPr>
      <w:sz w:val="12"/>
      <w:szCs w:val="20"/>
    </w:rPr>
  </w:style>
  <w:style w:type="character" w:customStyle="1" w:styleId="FootnoteTextChar">
    <w:name w:val="Footnote Text Char"/>
    <w:link w:val="FootnoteText"/>
    <w:uiPriority w:val="99"/>
    <w:rsid w:val="00752794"/>
    <w:rPr>
      <w:rFonts w:ascii="Arial" w:eastAsia="Times New Roman" w:hAnsi="Arial"/>
      <w:sz w:val="12"/>
      <w:lang w:val="en-US" w:eastAsia="en-US"/>
    </w:rPr>
  </w:style>
  <w:style w:type="character" w:styleId="FootnoteReference">
    <w:name w:val="footnote reference"/>
    <w:uiPriority w:val="99"/>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semiHidden/>
    <w:rsid w:val="00752794"/>
    <w:pPr>
      <w:tabs>
        <w:tab w:val="clear" w:pos="720"/>
        <w:tab w:val="center" w:pos="4680"/>
        <w:tab w:val="right" w:pos="9360"/>
      </w:tabs>
    </w:pPr>
  </w:style>
  <w:style w:type="character" w:customStyle="1" w:styleId="HeaderChar">
    <w:name w:val="Header Char"/>
    <w:link w:val="Header"/>
    <w:uiPriority w:val="99"/>
    <w:semiHidden/>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
      </w:numPr>
      <w:tabs>
        <w:tab w:val="clear" w:pos="360"/>
      </w:tabs>
      <w:ind w:left="915" w:hanging="720"/>
      <w:contextualSpacing/>
    </w:pPr>
  </w:style>
  <w:style w:type="paragraph" w:styleId="ListBullet2">
    <w:name w:val="List Bullet 2"/>
    <w:basedOn w:val="Normal"/>
    <w:uiPriority w:val="99"/>
    <w:semiHidden/>
    <w:rsid w:val="00B5331E"/>
    <w:pPr>
      <w:numPr>
        <w:numId w:val="3"/>
      </w:numPr>
      <w:tabs>
        <w:tab w:val="clear" w:pos="643"/>
        <w:tab w:val="num" w:pos="360"/>
      </w:tabs>
      <w:ind w:left="0" w:firstLine="0"/>
      <w:contextualSpacing/>
    </w:pPr>
  </w:style>
  <w:style w:type="paragraph" w:styleId="ListBullet3">
    <w:name w:val="List Bullet 3"/>
    <w:basedOn w:val="Normal"/>
    <w:uiPriority w:val="99"/>
    <w:semiHidden/>
    <w:rsid w:val="00B5331E"/>
    <w:pPr>
      <w:numPr>
        <w:numId w:val="4"/>
      </w:numPr>
      <w:tabs>
        <w:tab w:val="clear" w:pos="926"/>
        <w:tab w:val="num" w:pos="360"/>
      </w:tabs>
      <w:ind w:left="0" w:firstLine="0"/>
      <w:contextualSpacing/>
    </w:pPr>
  </w:style>
  <w:style w:type="paragraph" w:styleId="ListBullet4">
    <w:name w:val="List Bullet 4"/>
    <w:basedOn w:val="Normal"/>
    <w:uiPriority w:val="99"/>
    <w:semiHidden/>
    <w:rsid w:val="00B5331E"/>
    <w:pPr>
      <w:numPr>
        <w:numId w:val="5"/>
      </w:numPr>
      <w:tabs>
        <w:tab w:val="clear" w:pos="1209"/>
        <w:tab w:val="num" w:pos="360"/>
      </w:tabs>
      <w:ind w:left="0" w:firstLine="0"/>
      <w:contextualSpacing/>
    </w:pPr>
  </w:style>
  <w:style w:type="paragraph" w:styleId="ListBullet5">
    <w:name w:val="List Bullet 5"/>
    <w:basedOn w:val="Normal"/>
    <w:uiPriority w:val="99"/>
    <w:semiHidden/>
    <w:rsid w:val="00B5331E"/>
    <w:pPr>
      <w:numPr>
        <w:numId w:val="6"/>
      </w:numPr>
      <w:tabs>
        <w:tab w:val="clear" w:pos="1492"/>
        <w:tab w:val="num" w:pos="360"/>
      </w:tabs>
      <w:ind w:left="0" w:firstLine="0"/>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7"/>
      </w:numPr>
      <w:ind w:left="0" w:firstLine="0"/>
      <w:contextualSpacing/>
    </w:pPr>
  </w:style>
  <w:style w:type="paragraph" w:styleId="ListNumber2">
    <w:name w:val="List Number 2"/>
    <w:basedOn w:val="Normal"/>
    <w:uiPriority w:val="99"/>
    <w:semiHidden/>
    <w:rsid w:val="00B5331E"/>
    <w:pPr>
      <w:numPr>
        <w:numId w:val="8"/>
      </w:numPr>
      <w:tabs>
        <w:tab w:val="clear" w:pos="643"/>
        <w:tab w:val="num" w:pos="360"/>
      </w:tabs>
      <w:ind w:left="0" w:firstLine="0"/>
      <w:contextualSpacing/>
    </w:pPr>
  </w:style>
  <w:style w:type="paragraph" w:styleId="ListNumber3">
    <w:name w:val="List Number 3"/>
    <w:basedOn w:val="Normal"/>
    <w:uiPriority w:val="99"/>
    <w:semiHidden/>
    <w:rsid w:val="00B5331E"/>
    <w:pPr>
      <w:numPr>
        <w:numId w:val="9"/>
      </w:numPr>
      <w:tabs>
        <w:tab w:val="clear" w:pos="926"/>
        <w:tab w:val="num" w:pos="360"/>
      </w:tabs>
      <w:ind w:left="0" w:firstLine="0"/>
      <w:contextualSpacing/>
    </w:pPr>
  </w:style>
  <w:style w:type="paragraph" w:styleId="ListNumber4">
    <w:name w:val="List Number 4"/>
    <w:basedOn w:val="Normal"/>
    <w:uiPriority w:val="99"/>
    <w:semiHidden/>
    <w:rsid w:val="00B5331E"/>
    <w:pPr>
      <w:numPr>
        <w:numId w:val="10"/>
      </w:numPr>
      <w:tabs>
        <w:tab w:val="clear" w:pos="1209"/>
        <w:tab w:val="num" w:pos="360"/>
      </w:tabs>
      <w:ind w:left="0" w:firstLine="0"/>
      <w:contextualSpacing/>
    </w:pPr>
  </w:style>
  <w:style w:type="paragraph" w:styleId="ListNumber5">
    <w:name w:val="List Number 5"/>
    <w:basedOn w:val="Normal"/>
    <w:uiPriority w:val="99"/>
    <w:semiHidden/>
    <w:rsid w:val="00B5331E"/>
    <w:pPr>
      <w:numPr>
        <w:numId w:val="11"/>
      </w:numPr>
      <w:tabs>
        <w:tab w:val="clear" w:pos="1492"/>
        <w:tab w:val="num" w:pos="360"/>
      </w:tabs>
      <w:ind w:left="0" w:firstLine="0"/>
      <w:contextualSpacing/>
    </w:pPr>
  </w:style>
  <w:style w:type="paragraph" w:styleId="ListParagraph">
    <w:name w:val="List Paragraph"/>
    <w:basedOn w:val="Normal"/>
    <w:uiPriority w:val="34"/>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0"/>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styleId="UnresolvedMention">
    <w:name w:val="Unresolved Mention"/>
    <w:basedOn w:val="DefaultParagraphFont"/>
    <w:uiPriority w:val="99"/>
    <w:semiHidden/>
    <w:unhideWhenUsed/>
    <w:rsid w:val="007D60BC"/>
    <w:rPr>
      <w:color w:val="605E5C"/>
      <w:shd w:val="clear" w:color="auto" w:fill="E1DFDD"/>
    </w:rPr>
  </w:style>
  <w:style w:type="character" w:styleId="CommentReference">
    <w:name w:val="annotation reference"/>
    <w:basedOn w:val="DefaultParagraphFont"/>
    <w:uiPriority w:val="99"/>
    <w:semiHidden/>
    <w:unhideWhenUsed/>
    <w:rsid w:val="003835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orecast@aes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orecast@aeso.c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eia.gov/analysis/studies/powerplants/capitalcost/" TargetMode="External"/><Relationship Id="rId2" Type="http://schemas.openxmlformats.org/officeDocument/2006/relationships/hyperlink" Target="https://ihsmarkit.com/research-analysis/canadian-oil-sands-running-above-prepandemic-highs.html" TargetMode="External"/><Relationship Id="rId1" Type="http://schemas.openxmlformats.org/officeDocument/2006/relationships/hyperlink" Target="https://www.conferenceboard.ca/temp/dece8ebd-ff72-4d8d-9813-c85a9dd47c61/11357_ip_provincial-outlook_nov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aeso.ca\dfs\applications\AESO%20Monthly%20Template%20Updates\Templates\Landscap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C_Map_Root xmlns="http://Greg_Maxey/CC_Mapping_Part">
  <AESO_Confidentiality_Classifications>Public</AESO_Confidentiality_Classifications>
  <Footer>Issued for Stakeholder Comment: Dec. 16, 2021</Footer>
</CC_Map_Roo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E86D17968338498BDF8CCA0ADE1FDF" ma:contentTypeVersion="2" ma:contentTypeDescription="Create a new document." ma:contentTypeScope="" ma:versionID="774a109d80b2409949d1b85521b66d10">
  <xsd:schema xmlns:xsd="http://www.w3.org/2001/XMLSchema" xmlns:xs="http://www.w3.org/2001/XMLSchema" xmlns:p="http://schemas.microsoft.com/office/2006/metadata/properties" xmlns:ns2="ad88ade4-7dd6-466c-9782-682dfdba5380" targetNamespace="http://schemas.microsoft.com/office/2006/metadata/properties" ma:root="true" ma:fieldsID="f1ff4dd9f5ad13655e651e6e2b9f5564" ns2:_="">
    <xsd:import namespace="ad88ade4-7dd6-466c-9782-682dfdba53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ade4-7dd6-466c-9782-682dfdba53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475B2-32CA-4837-9589-24673993E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EFC4A-4A3E-47E7-B805-055B52A9182C}">
  <ds:schemaRefs>
    <ds:schemaRef ds:uri="http://schemas.microsoft.com/sharepoint/v3/contenttype/forms"/>
  </ds:schemaRefs>
</ds:datastoreItem>
</file>

<file path=customXml/itemProps3.xml><?xml version="1.0" encoding="utf-8"?>
<ds:datastoreItem xmlns:ds="http://schemas.openxmlformats.org/officeDocument/2006/customXml" ds:itemID="{320D493F-7BDF-4716-B21A-1C97993CF725}">
  <ds:schemaRefs>
    <ds:schemaRef ds:uri="http://Greg_Maxey/CC_Mapping_Part"/>
  </ds:schemaRefs>
</ds:datastoreItem>
</file>

<file path=customXml/itemProps4.xml><?xml version="1.0" encoding="utf-8"?>
<ds:datastoreItem xmlns:ds="http://schemas.openxmlformats.org/officeDocument/2006/customXml" ds:itemID="{F868F72F-1E59-42A8-A7E7-A2E003273CDF}">
  <ds:schemaRefs>
    <ds:schemaRef ds:uri="http://schemas.openxmlformats.org/officeDocument/2006/bibliography"/>
  </ds:schemaRefs>
</ds:datastoreItem>
</file>

<file path=customXml/itemProps5.xml><?xml version="1.0" encoding="utf-8"?>
<ds:datastoreItem xmlns:ds="http://schemas.openxmlformats.org/officeDocument/2006/customXml" ds:itemID="{B52FDF6A-C71B-4D7A-B73A-7D55E40BA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ade4-7dd6-466c-9782-682dfdba5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Landscape Letter</Template>
  <TotalTime>244</TotalTime>
  <Pages>9</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AESO - Alberta Electric System Operator</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Anderson</dc:creator>
  <cp:keywords/>
  <cp:lastModifiedBy>Karla Anderson</cp:lastModifiedBy>
  <cp:revision>17</cp:revision>
  <cp:lastPrinted>2019-04-01T17:45:00Z</cp:lastPrinted>
  <dcterms:created xsi:type="dcterms:W3CDTF">2021-12-16T00:58:00Z</dcterms:created>
  <dcterms:modified xsi:type="dcterms:W3CDTF">2021-12-16T19:43:00Z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4f2212-fe43-4578-b841-38c95b77cb60_Enabled">
    <vt:lpwstr>true</vt:lpwstr>
  </property>
  <property fmtid="{D5CDD505-2E9C-101B-9397-08002B2CF9AE}" pid="3" name="MSIP_Label_854f2212-fe43-4578-b841-38c95b77cb60_SetDate">
    <vt:lpwstr>2021-08-19T18:03:34Z</vt:lpwstr>
  </property>
  <property fmtid="{D5CDD505-2E9C-101B-9397-08002B2CF9AE}" pid="4" name="MSIP_Label_854f2212-fe43-4578-b841-38c95b77cb60_Method">
    <vt:lpwstr>Standard</vt:lpwstr>
  </property>
  <property fmtid="{D5CDD505-2E9C-101B-9397-08002B2CF9AE}" pid="5" name="MSIP_Label_854f2212-fe43-4578-b841-38c95b77cb60_Name">
    <vt:lpwstr>AESO Internal Protected Document</vt:lpwstr>
  </property>
  <property fmtid="{D5CDD505-2E9C-101B-9397-08002B2CF9AE}" pid="6" name="MSIP_Label_854f2212-fe43-4578-b841-38c95b77cb60_SiteId">
    <vt:lpwstr>9869aa0d-ebba-4f8c-9399-7dff7665b1d1</vt:lpwstr>
  </property>
  <property fmtid="{D5CDD505-2E9C-101B-9397-08002B2CF9AE}" pid="7" name="MSIP_Label_854f2212-fe43-4578-b841-38c95b77cb60_ActionId">
    <vt:lpwstr>386202df-9b6b-48df-a8a6-2853a8e7250d</vt:lpwstr>
  </property>
  <property fmtid="{D5CDD505-2E9C-101B-9397-08002B2CF9AE}" pid="8" name="MSIP_Label_854f2212-fe43-4578-b841-38c95b77cb60_ContentBits">
    <vt:lpwstr>0</vt:lpwstr>
  </property>
  <property fmtid="{D5CDD505-2E9C-101B-9397-08002B2CF9AE}" pid="9" name="ContentTypeId">
    <vt:lpwstr>0x010100CBE86D17968338498BDF8CCA0ADE1FDF</vt:lpwstr>
  </property>
</Properties>
</file>